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5" w:rsidRDefault="00325CE1">
      <w:pPr>
        <w:pStyle w:val="1"/>
        <w:spacing w:after="240" w:line="276" w:lineRule="auto"/>
        <w:jc w:val="center"/>
        <w:rPr>
          <w:rFonts w:ascii="宋体" w:eastAsia="宋体" w:hAnsi="宋体"/>
          <w:b/>
          <w:sz w:val="28"/>
          <w:szCs w:val="24"/>
        </w:rPr>
      </w:pPr>
      <w:r>
        <w:rPr>
          <w:rFonts w:ascii="宋体" w:eastAsia="宋体" w:hAnsi="宋体" w:hint="eastAsia"/>
          <w:b/>
          <w:sz w:val="28"/>
          <w:szCs w:val="24"/>
        </w:rPr>
        <w:t>投资人权益须知</w:t>
      </w:r>
    </w:p>
    <w:p w:rsidR="00F22945" w:rsidRDefault="00325CE1">
      <w:pPr>
        <w:spacing w:line="276" w:lineRule="auto"/>
        <w:rPr>
          <w:szCs w:val="21"/>
        </w:rPr>
      </w:pPr>
      <w:r>
        <w:rPr>
          <w:rFonts w:hint="eastAsia"/>
          <w:szCs w:val="21"/>
        </w:rPr>
        <w:t>尊敬的投资人：</w:t>
      </w:r>
    </w:p>
    <w:p w:rsidR="00F22945" w:rsidRDefault="00325CE1">
      <w:pPr>
        <w:spacing w:line="276" w:lineRule="auto"/>
        <w:ind w:firstLineChars="200" w:firstLine="420"/>
        <w:rPr>
          <w:szCs w:val="21"/>
        </w:rPr>
      </w:pPr>
      <w:r>
        <w:rPr>
          <w:rFonts w:hint="eastAsia"/>
          <w:szCs w:val="21"/>
        </w:rPr>
        <w:t>证券投资基金</w:t>
      </w:r>
      <w:r>
        <w:rPr>
          <w:szCs w:val="21"/>
        </w:rPr>
        <w:t>/</w:t>
      </w:r>
      <w:r>
        <w:rPr>
          <w:rFonts w:hint="eastAsia"/>
          <w:szCs w:val="21"/>
        </w:rPr>
        <w:t>特定客户资产管理计划（以下简称“基金</w:t>
      </w:r>
      <w:r>
        <w:rPr>
          <w:szCs w:val="21"/>
        </w:rPr>
        <w:t>/</w:t>
      </w:r>
      <w:r>
        <w:rPr>
          <w:rFonts w:hint="eastAsia"/>
          <w:szCs w:val="21"/>
        </w:rPr>
        <w:t>资管计划”）投资在获取收益的同时存在投资风险。为了保护您的合法权益，请在投资基金</w:t>
      </w:r>
      <w:r>
        <w:rPr>
          <w:szCs w:val="21"/>
        </w:rPr>
        <w:t>/</w:t>
      </w:r>
      <w:proofErr w:type="gramStart"/>
      <w:r>
        <w:rPr>
          <w:rFonts w:hint="eastAsia"/>
          <w:szCs w:val="21"/>
        </w:rPr>
        <w:t>资管计划</w:t>
      </w:r>
      <w:proofErr w:type="gramEnd"/>
      <w:r>
        <w:rPr>
          <w:rFonts w:hint="eastAsia"/>
          <w:szCs w:val="21"/>
        </w:rPr>
        <w:t>前认真阅读以下内容：</w:t>
      </w:r>
    </w:p>
    <w:p w:rsidR="00F22945" w:rsidRDefault="00325CE1">
      <w:pPr>
        <w:spacing w:line="276" w:lineRule="auto"/>
        <w:ind w:firstLineChars="200" w:firstLine="422"/>
        <w:rPr>
          <w:szCs w:val="21"/>
        </w:rPr>
      </w:pPr>
      <w:r>
        <w:rPr>
          <w:rFonts w:hint="eastAsia"/>
          <w:b/>
          <w:szCs w:val="21"/>
        </w:rPr>
        <w:t>一、基金的基本知识</w:t>
      </w:r>
      <w:r>
        <w:rPr>
          <w:b/>
          <w:szCs w:val="21"/>
        </w:rPr>
        <w:t xml:space="preserve"> </w:t>
      </w:r>
      <w:r>
        <w:rPr>
          <w:szCs w:val="21"/>
        </w:rPr>
        <w:t xml:space="preserve"> </w:t>
      </w:r>
    </w:p>
    <w:p w:rsidR="00F22945" w:rsidRDefault="00325CE1">
      <w:pPr>
        <w:spacing w:line="276" w:lineRule="auto"/>
        <w:ind w:firstLineChars="200" w:firstLine="420"/>
        <w:rPr>
          <w:szCs w:val="21"/>
        </w:rPr>
      </w:pPr>
      <w:r>
        <w:rPr>
          <w:rFonts w:hint="eastAsia"/>
          <w:szCs w:val="21"/>
        </w:rPr>
        <w:t>（一）什么是基金</w:t>
      </w:r>
    </w:p>
    <w:p w:rsidR="00F22945" w:rsidRDefault="00325CE1">
      <w:pPr>
        <w:spacing w:line="276" w:lineRule="auto"/>
        <w:ind w:firstLineChars="200" w:firstLine="420"/>
        <w:rPr>
          <w:szCs w:val="21"/>
        </w:rPr>
      </w:pPr>
      <w:r>
        <w:rPr>
          <w:rFonts w:hint="eastAsia"/>
          <w:szCs w:val="21"/>
        </w:rPr>
        <w:t>证券投资基金（简称基金）是指通过发售基金份额，将众多投资人的资金集中起来，形成独立财产，由基金托管人托管，基金管理人管理，以投资组合的方法进行证券投资的一种利益共享、风险共担的集合投资方式。</w:t>
      </w:r>
    </w:p>
    <w:p w:rsidR="00F22945" w:rsidRDefault="00325CE1">
      <w:pPr>
        <w:spacing w:line="276" w:lineRule="auto"/>
        <w:ind w:firstLineChars="200" w:firstLine="420"/>
        <w:rPr>
          <w:szCs w:val="21"/>
        </w:rPr>
      </w:pPr>
      <w:r>
        <w:rPr>
          <w:rFonts w:hint="eastAsia"/>
          <w:szCs w:val="21"/>
        </w:rPr>
        <w:t>（二）</w:t>
      </w:r>
      <w:r>
        <w:rPr>
          <w:szCs w:val="21"/>
        </w:rPr>
        <w:t xml:space="preserve"> </w:t>
      </w:r>
      <w:r>
        <w:rPr>
          <w:szCs w:val="21"/>
        </w:rPr>
        <w:t>什么</w:t>
      </w:r>
      <w:proofErr w:type="gramStart"/>
      <w:r>
        <w:rPr>
          <w:szCs w:val="21"/>
        </w:rPr>
        <w:t>是资管计划</w:t>
      </w:r>
      <w:proofErr w:type="gramEnd"/>
    </w:p>
    <w:p w:rsidR="00F22945" w:rsidRDefault="00325CE1">
      <w:pPr>
        <w:spacing w:line="276" w:lineRule="auto"/>
        <w:ind w:firstLineChars="200" w:firstLine="420"/>
        <w:rPr>
          <w:szCs w:val="21"/>
        </w:rPr>
      </w:pPr>
      <w:proofErr w:type="gramStart"/>
      <w:r>
        <w:rPr>
          <w:rFonts w:hint="eastAsia"/>
          <w:szCs w:val="21"/>
        </w:rPr>
        <w:t>资管计划</w:t>
      </w:r>
      <w:proofErr w:type="gramEnd"/>
      <w:r>
        <w:rPr>
          <w:rFonts w:hint="eastAsia"/>
          <w:szCs w:val="21"/>
        </w:rPr>
        <w:t>是基金管理公司向符合条件的特定客户募集资金或者接受特定客户财产委托担任资产管理人，由托管机构担任资产托管人，为资产委托人的利益，运用委托财产进行投资的活动，管理计划投资人共享利益、共担风险。符合条件的特定客户，是指委托投资单个</w:t>
      </w:r>
      <w:proofErr w:type="gramStart"/>
      <w:r>
        <w:rPr>
          <w:rFonts w:hint="eastAsia"/>
          <w:szCs w:val="21"/>
        </w:rPr>
        <w:t>资管计划</w:t>
      </w:r>
      <w:proofErr w:type="gramEnd"/>
      <w:r>
        <w:rPr>
          <w:rFonts w:hint="eastAsia"/>
          <w:szCs w:val="21"/>
        </w:rPr>
        <w:t>初始金额不低于</w:t>
      </w:r>
      <w:r>
        <w:rPr>
          <w:szCs w:val="21"/>
        </w:rPr>
        <w:t>100</w:t>
      </w:r>
      <w:r>
        <w:rPr>
          <w:rFonts w:hint="eastAsia"/>
          <w:szCs w:val="21"/>
        </w:rPr>
        <w:t>万元人民币，且能够识别、判断和承担相应投资风险的自然人、法人、依法成立的组织或中国证监会认可的其它特定客户。</w:t>
      </w:r>
    </w:p>
    <w:p w:rsidR="00F22945" w:rsidRDefault="00325CE1">
      <w:pPr>
        <w:spacing w:line="276" w:lineRule="auto"/>
        <w:ind w:firstLineChars="200" w:firstLine="420"/>
        <w:rPr>
          <w:szCs w:val="21"/>
        </w:rPr>
      </w:pPr>
      <w:r>
        <w:rPr>
          <w:rFonts w:hint="eastAsia"/>
          <w:szCs w:val="21"/>
        </w:rPr>
        <w:t>（三）基金与股票、债券、储蓄存款等其它金融工具的区别</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57"/>
        <w:gridCol w:w="2308"/>
        <w:gridCol w:w="1574"/>
        <w:gridCol w:w="1679"/>
        <w:gridCol w:w="1804"/>
      </w:tblGrid>
      <w:tr w:rsidR="00F22945">
        <w:trPr>
          <w:trHeight w:val="730"/>
          <w:jc w:val="center"/>
        </w:trPr>
        <w:tc>
          <w:tcPr>
            <w:tcW w:w="1157" w:type="dxa"/>
            <w:tcBorders>
              <w:top w:val="single" w:sz="12" w:space="0" w:color="auto"/>
            </w:tcBorders>
            <w:shd w:val="clear" w:color="auto" w:fill="B3B3B3"/>
            <w:vAlign w:val="center"/>
          </w:tcPr>
          <w:p w:rsidR="00F22945" w:rsidRDefault="00F22945">
            <w:pPr>
              <w:pStyle w:val="af2"/>
              <w:spacing w:line="276" w:lineRule="auto"/>
              <w:jc w:val="center"/>
              <w:rPr>
                <w:rFonts w:ascii="Times New Roman" w:eastAsia="宋体" w:hAnsi="Times New Roman"/>
                <w:b/>
                <w:kern w:val="2"/>
                <w:sz w:val="18"/>
                <w:szCs w:val="18"/>
              </w:rPr>
            </w:pPr>
          </w:p>
        </w:tc>
        <w:tc>
          <w:tcPr>
            <w:tcW w:w="2308" w:type="dxa"/>
            <w:tcBorders>
              <w:top w:val="single" w:sz="12" w:space="0" w:color="auto"/>
            </w:tcBorders>
            <w:shd w:val="clear" w:color="auto" w:fill="B3B3B3"/>
            <w:vAlign w:val="center"/>
          </w:tcPr>
          <w:p w:rsidR="00F22945" w:rsidRDefault="00325CE1">
            <w:pPr>
              <w:pStyle w:val="af2"/>
              <w:spacing w:line="276" w:lineRule="auto"/>
              <w:jc w:val="center"/>
              <w:rPr>
                <w:rFonts w:ascii="Times New Roman" w:eastAsia="宋体" w:hAnsi="Times New Roman"/>
                <w:b/>
                <w:kern w:val="2"/>
                <w:sz w:val="18"/>
                <w:szCs w:val="18"/>
              </w:rPr>
            </w:pPr>
            <w:r>
              <w:rPr>
                <w:rFonts w:ascii="Times New Roman" w:eastAsia="宋体" w:hAnsi="Times New Roman" w:hint="eastAsia"/>
                <w:b/>
                <w:kern w:val="2"/>
                <w:sz w:val="18"/>
                <w:szCs w:val="18"/>
              </w:rPr>
              <w:t>基金</w:t>
            </w:r>
          </w:p>
        </w:tc>
        <w:tc>
          <w:tcPr>
            <w:tcW w:w="1574" w:type="dxa"/>
            <w:tcBorders>
              <w:top w:val="single" w:sz="12" w:space="0" w:color="auto"/>
            </w:tcBorders>
            <w:shd w:val="clear" w:color="auto" w:fill="B3B3B3"/>
            <w:vAlign w:val="center"/>
          </w:tcPr>
          <w:p w:rsidR="00F22945" w:rsidRDefault="00325CE1">
            <w:pPr>
              <w:pStyle w:val="af2"/>
              <w:spacing w:line="276" w:lineRule="auto"/>
              <w:jc w:val="center"/>
              <w:rPr>
                <w:rFonts w:ascii="Times New Roman" w:eastAsia="宋体" w:hAnsi="Times New Roman"/>
                <w:b/>
                <w:kern w:val="2"/>
                <w:sz w:val="18"/>
                <w:szCs w:val="18"/>
              </w:rPr>
            </w:pPr>
            <w:r>
              <w:rPr>
                <w:rFonts w:ascii="Times New Roman" w:eastAsia="宋体" w:hAnsi="Times New Roman" w:hint="eastAsia"/>
                <w:b/>
                <w:kern w:val="2"/>
                <w:sz w:val="18"/>
                <w:szCs w:val="18"/>
              </w:rPr>
              <w:t>股票</w:t>
            </w:r>
          </w:p>
        </w:tc>
        <w:tc>
          <w:tcPr>
            <w:tcW w:w="1679" w:type="dxa"/>
            <w:tcBorders>
              <w:top w:val="single" w:sz="12" w:space="0" w:color="auto"/>
            </w:tcBorders>
            <w:shd w:val="clear" w:color="auto" w:fill="B3B3B3"/>
            <w:vAlign w:val="center"/>
          </w:tcPr>
          <w:p w:rsidR="00F22945" w:rsidRDefault="00325CE1">
            <w:pPr>
              <w:pStyle w:val="af2"/>
              <w:spacing w:line="276" w:lineRule="auto"/>
              <w:jc w:val="center"/>
              <w:rPr>
                <w:rFonts w:ascii="Times New Roman" w:eastAsia="宋体" w:hAnsi="Times New Roman"/>
                <w:b/>
                <w:kern w:val="2"/>
                <w:sz w:val="18"/>
                <w:szCs w:val="18"/>
              </w:rPr>
            </w:pPr>
            <w:r>
              <w:rPr>
                <w:rFonts w:ascii="Times New Roman" w:eastAsia="宋体" w:hAnsi="Times New Roman" w:hint="eastAsia"/>
                <w:b/>
                <w:kern w:val="2"/>
                <w:sz w:val="18"/>
                <w:szCs w:val="18"/>
              </w:rPr>
              <w:t>债券</w:t>
            </w:r>
          </w:p>
        </w:tc>
        <w:tc>
          <w:tcPr>
            <w:tcW w:w="1804" w:type="dxa"/>
            <w:tcBorders>
              <w:top w:val="single" w:sz="12" w:space="0" w:color="auto"/>
            </w:tcBorders>
            <w:shd w:val="clear" w:color="auto" w:fill="B3B3B3"/>
            <w:vAlign w:val="center"/>
          </w:tcPr>
          <w:p w:rsidR="00F22945" w:rsidRDefault="00325CE1">
            <w:pPr>
              <w:pStyle w:val="af2"/>
              <w:spacing w:line="276" w:lineRule="auto"/>
              <w:jc w:val="center"/>
              <w:rPr>
                <w:rFonts w:ascii="Times New Roman" w:eastAsia="宋体" w:hAnsi="Times New Roman"/>
                <w:b/>
                <w:kern w:val="2"/>
                <w:sz w:val="18"/>
                <w:szCs w:val="18"/>
              </w:rPr>
            </w:pPr>
            <w:r>
              <w:rPr>
                <w:rFonts w:ascii="Times New Roman" w:eastAsia="宋体" w:hAnsi="Times New Roman" w:hint="eastAsia"/>
                <w:b/>
                <w:kern w:val="2"/>
                <w:sz w:val="18"/>
                <w:szCs w:val="18"/>
              </w:rPr>
              <w:t>银行储蓄存款</w:t>
            </w:r>
          </w:p>
        </w:tc>
      </w:tr>
      <w:tr w:rsidR="00F22945">
        <w:trPr>
          <w:trHeight w:val="2239"/>
          <w:jc w:val="center"/>
        </w:trPr>
        <w:tc>
          <w:tcPr>
            <w:tcW w:w="1157"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反映的经济关系不同</w:t>
            </w:r>
          </w:p>
        </w:tc>
        <w:tc>
          <w:tcPr>
            <w:tcW w:w="2308"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信托关系，是一种受益凭证，投资人购买基金份额后成为基金受益人，基金管理人只是替投资人管理资金，并不承担投资损失风险</w:t>
            </w:r>
          </w:p>
        </w:tc>
        <w:tc>
          <w:tcPr>
            <w:tcW w:w="157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所有权关系，是一种所有权凭证，投资人购买后成为公司股东</w:t>
            </w:r>
          </w:p>
        </w:tc>
        <w:tc>
          <w:tcPr>
            <w:tcW w:w="1679"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债权债务关系，是一种债权凭证，投资人购买后成为该公司债权人</w:t>
            </w:r>
          </w:p>
        </w:tc>
        <w:tc>
          <w:tcPr>
            <w:tcW w:w="180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表现为银行的负债，是一种信用凭证，银行对存款者负有法定的保本付息责任</w:t>
            </w:r>
          </w:p>
        </w:tc>
      </w:tr>
      <w:tr w:rsidR="00F22945">
        <w:trPr>
          <w:trHeight w:val="827"/>
          <w:jc w:val="center"/>
        </w:trPr>
        <w:tc>
          <w:tcPr>
            <w:tcW w:w="1157"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所筹资金的投向不同</w:t>
            </w:r>
          </w:p>
        </w:tc>
        <w:tc>
          <w:tcPr>
            <w:tcW w:w="2308"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间接投资工具，主要投向股票、债券等有价证券</w:t>
            </w:r>
          </w:p>
        </w:tc>
        <w:tc>
          <w:tcPr>
            <w:tcW w:w="157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直接投资工具，主要投向实业领域</w:t>
            </w:r>
          </w:p>
        </w:tc>
        <w:tc>
          <w:tcPr>
            <w:tcW w:w="1679"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直接投资工具，主要投向实业领域</w:t>
            </w:r>
          </w:p>
        </w:tc>
        <w:tc>
          <w:tcPr>
            <w:tcW w:w="180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间接投资工具，银行负责资金用途和投向</w:t>
            </w:r>
          </w:p>
        </w:tc>
      </w:tr>
      <w:tr w:rsidR="00F22945">
        <w:trPr>
          <w:trHeight w:val="694"/>
          <w:jc w:val="center"/>
        </w:trPr>
        <w:tc>
          <w:tcPr>
            <w:tcW w:w="1157"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投资收益与风险大小不同</w:t>
            </w:r>
          </w:p>
        </w:tc>
        <w:tc>
          <w:tcPr>
            <w:tcW w:w="2308"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投资于众多有价证券，能有效分散风险，风险相对适中，收益相对稳健</w:t>
            </w:r>
          </w:p>
        </w:tc>
        <w:tc>
          <w:tcPr>
            <w:tcW w:w="157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价格波动性大，高风险、高收益</w:t>
            </w:r>
          </w:p>
        </w:tc>
        <w:tc>
          <w:tcPr>
            <w:tcW w:w="1679"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价格波动较股票小，低风险、低收益</w:t>
            </w:r>
          </w:p>
        </w:tc>
        <w:tc>
          <w:tcPr>
            <w:tcW w:w="180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银行存款利率相对固定，损失本金的可能性很小，投资比较安全</w:t>
            </w:r>
          </w:p>
        </w:tc>
      </w:tr>
      <w:tr w:rsidR="00F22945">
        <w:trPr>
          <w:trHeight w:val="883"/>
          <w:jc w:val="center"/>
        </w:trPr>
        <w:tc>
          <w:tcPr>
            <w:tcW w:w="1157"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收益来源</w:t>
            </w:r>
          </w:p>
        </w:tc>
        <w:tc>
          <w:tcPr>
            <w:tcW w:w="2308"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利息收入、股利收入、资本利得</w:t>
            </w:r>
          </w:p>
        </w:tc>
        <w:tc>
          <w:tcPr>
            <w:tcW w:w="157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股利收入、资本利得</w:t>
            </w:r>
          </w:p>
        </w:tc>
        <w:tc>
          <w:tcPr>
            <w:tcW w:w="1679"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利息收入、资本利得</w:t>
            </w:r>
          </w:p>
        </w:tc>
        <w:tc>
          <w:tcPr>
            <w:tcW w:w="1804" w:type="dxa"/>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利息收入</w:t>
            </w:r>
          </w:p>
        </w:tc>
      </w:tr>
      <w:tr w:rsidR="00F22945">
        <w:trPr>
          <w:trHeight w:val="1078"/>
          <w:jc w:val="center"/>
        </w:trPr>
        <w:tc>
          <w:tcPr>
            <w:tcW w:w="1157" w:type="dxa"/>
            <w:tcBorders>
              <w:bottom w:val="single" w:sz="12" w:space="0" w:color="auto"/>
            </w:tcBorders>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lastRenderedPageBreak/>
              <w:t>投资渠道</w:t>
            </w:r>
          </w:p>
        </w:tc>
        <w:tc>
          <w:tcPr>
            <w:tcW w:w="2308" w:type="dxa"/>
            <w:tcBorders>
              <w:bottom w:val="single" w:sz="12" w:space="0" w:color="auto"/>
            </w:tcBorders>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基金管理公司及银行、证券公司等代销机构</w:t>
            </w:r>
          </w:p>
        </w:tc>
        <w:tc>
          <w:tcPr>
            <w:tcW w:w="1574" w:type="dxa"/>
            <w:tcBorders>
              <w:bottom w:val="single" w:sz="12" w:space="0" w:color="auto"/>
            </w:tcBorders>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证券公司</w:t>
            </w:r>
          </w:p>
        </w:tc>
        <w:tc>
          <w:tcPr>
            <w:tcW w:w="1679" w:type="dxa"/>
            <w:tcBorders>
              <w:bottom w:val="single" w:sz="12" w:space="0" w:color="auto"/>
            </w:tcBorders>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债券发行机构、证券公司及银行等代销机构</w:t>
            </w:r>
          </w:p>
        </w:tc>
        <w:tc>
          <w:tcPr>
            <w:tcW w:w="1804" w:type="dxa"/>
            <w:tcBorders>
              <w:bottom w:val="single" w:sz="12" w:space="0" w:color="auto"/>
            </w:tcBorders>
            <w:vAlign w:val="center"/>
          </w:tcPr>
          <w:p w:rsidR="00F22945" w:rsidRDefault="00325CE1">
            <w:pPr>
              <w:pStyle w:val="af2"/>
              <w:spacing w:line="276" w:lineRule="auto"/>
              <w:rPr>
                <w:rFonts w:ascii="Times New Roman" w:eastAsia="宋体" w:hAnsi="Times New Roman"/>
                <w:kern w:val="2"/>
                <w:sz w:val="18"/>
                <w:szCs w:val="18"/>
              </w:rPr>
            </w:pPr>
            <w:r>
              <w:rPr>
                <w:rFonts w:ascii="Times New Roman" w:eastAsia="宋体" w:hAnsi="Times New Roman" w:hint="eastAsia"/>
                <w:kern w:val="2"/>
                <w:sz w:val="18"/>
                <w:szCs w:val="18"/>
              </w:rPr>
              <w:t>银行、信用社、邮政储蓄银行</w:t>
            </w:r>
          </w:p>
        </w:tc>
      </w:tr>
    </w:tbl>
    <w:p w:rsidR="00F22945" w:rsidRDefault="00325CE1">
      <w:pPr>
        <w:spacing w:line="276" w:lineRule="auto"/>
        <w:ind w:firstLineChars="200" w:firstLine="420"/>
        <w:rPr>
          <w:szCs w:val="21"/>
        </w:rPr>
      </w:pPr>
      <w:r>
        <w:rPr>
          <w:rFonts w:hint="eastAsia"/>
          <w:szCs w:val="21"/>
        </w:rPr>
        <w:t>（四）基金的分类</w:t>
      </w:r>
    </w:p>
    <w:p w:rsidR="00F22945" w:rsidRDefault="00325CE1">
      <w:pPr>
        <w:spacing w:line="276" w:lineRule="auto"/>
        <w:ind w:firstLineChars="200" w:firstLine="420"/>
        <w:rPr>
          <w:szCs w:val="21"/>
        </w:rPr>
      </w:pPr>
      <w:r>
        <w:rPr>
          <w:szCs w:val="21"/>
        </w:rPr>
        <w:t>1</w:t>
      </w:r>
      <w:r>
        <w:rPr>
          <w:rFonts w:hint="eastAsia"/>
          <w:szCs w:val="21"/>
        </w:rPr>
        <w:t>、依据运作方式的不同，可分为封闭式基金与开放式基金。</w:t>
      </w:r>
    </w:p>
    <w:p w:rsidR="00F22945" w:rsidRDefault="00325CE1">
      <w:pPr>
        <w:spacing w:line="276" w:lineRule="auto"/>
        <w:ind w:firstLineChars="200" w:firstLine="420"/>
        <w:rPr>
          <w:szCs w:val="21"/>
        </w:rPr>
      </w:pPr>
      <w:r>
        <w:rPr>
          <w:rFonts w:hint="eastAsia"/>
          <w:szCs w:val="21"/>
        </w:rPr>
        <w:t>封闭式基金是指基金份额在基金合同期限内固定不变，基金份额可以在依法设立的证券交易所交易，但基金份额持有人不得申请赎回的一种基金运作方式。</w:t>
      </w:r>
    </w:p>
    <w:p w:rsidR="00F22945" w:rsidRDefault="00325CE1">
      <w:pPr>
        <w:spacing w:line="276" w:lineRule="auto"/>
        <w:ind w:firstLineChars="200" w:firstLine="420"/>
        <w:rPr>
          <w:szCs w:val="21"/>
        </w:rPr>
      </w:pPr>
      <w:r>
        <w:rPr>
          <w:rFonts w:hint="eastAsia"/>
          <w:szCs w:val="21"/>
        </w:rPr>
        <w:t>开放式基金是指基金份额不固定，基金份额可以在基金合同约定的时间和场所进行申购和赎回的一种基金运作方式。</w:t>
      </w:r>
    </w:p>
    <w:p w:rsidR="00F22945" w:rsidRDefault="00325CE1">
      <w:pPr>
        <w:spacing w:line="276" w:lineRule="auto"/>
        <w:ind w:firstLineChars="200" w:firstLine="420"/>
        <w:rPr>
          <w:szCs w:val="21"/>
        </w:rPr>
      </w:pPr>
      <w:r>
        <w:rPr>
          <w:szCs w:val="21"/>
        </w:rPr>
        <w:t>2</w:t>
      </w:r>
      <w:r>
        <w:rPr>
          <w:szCs w:val="21"/>
        </w:rPr>
        <w:t>、依据投资对象的不同，可分为股票基金、债券基金、货币市场基金、</w:t>
      </w:r>
      <w:r>
        <w:rPr>
          <w:rFonts w:hint="eastAsia"/>
          <w:szCs w:val="21"/>
        </w:rPr>
        <w:t>基金中基金、</w:t>
      </w:r>
      <w:r>
        <w:rPr>
          <w:szCs w:val="21"/>
        </w:rPr>
        <w:t>混合基金</w:t>
      </w:r>
    </w:p>
    <w:p w:rsidR="00F22945" w:rsidRDefault="00325CE1">
      <w:pPr>
        <w:spacing w:line="276" w:lineRule="auto"/>
        <w:ind w:firstLineChars="200" w:firstLine="420"/>
        <w:rPr>
          <w:szCs w:val="21"/>
        </w:rPr>
      </w:pPr>
      <w:r>
        <w:rPr>
          <w:rFonts w:hint="eastAsia"/>
          <w:szCs w:val="21"/>
        </w:rPr>
        <w:t>根据《证券投资基金运作管理办法》对基金类别的分类标准</w:t>
      </w:r>
      <w:r>
        <w:rPr>
          <w:szCs w:val="21"/>
        </w:rPr>
        <w:t>,80%</w:t>
      </w:r>
      <w:r>
        <w:rPr>
          <w:szCs w:val="21"/>
        </w:rPr>
        <w:t>以上的基金资产投资于股票的为股票基金；</w:t>
      </w:r>
      <w:r>
        <w:rPr>
          <w:szCs w:val="21"/>
        </w:rPr>
        <w:t>80%</w:t>
      </w:r>
      <w:r>
        <w:rPr>
          <w:szCs w:val="21"/>
        </w:rPr>
        <w:t>以上的基金资产投资于债券的为债券基金；仅投资于货币市场工具的为货币市场基金；</w:t>
      </w:r>
      <w:r>
        <w:rPr>
          <w:szCs w:val="21"/>
        </w:rPr>
        <w:t>80%</w:t>
      </w:r>
      <w:r>
        <w:rPr>
          <w:szCs w:val="21"/>
        </w:rPr>
        <w:t>以上的基金资产投资于</w:t>
      </w:r>
      <w:r>
        <w:rPr>
          <w:rFonts w:hint="eastAsia"/>
          <w:szCs w:val="21"/>
        </w:rPr>
        <w:t>其它基金份额的</w:t>
      </w:r>
      <w:r>
        <w:rPr>
          <w:szCs w:val="21"/>
        </w:rPr>
        <w:t>，为基金</w:t>
      </w:r>
      <w:r>
        <w:rPr>
          <w:rFonts w:hint="eastAsia"/>
          <w:szCs w:val="21"/>
        </w:rPr>
        <w:t>中基金；</w:t>
      </w:r>
      <w:r>
        <w:rPr>
          <w:szCs w:val="21"/>
        </w:rPr>
        <w:t>投资于股票、债券和货币市场工具，但股票投资和债券投资的比例不符合股票基金、债券基金</w:t>
      </w:r>
      <w:r>
        <w:rPr>
          <w:rFonts w:hint="eastAsia"/>
          <w:szCs w:val="21"/>
        </w:rPr>
        <w:t>、</w:t>
      </w:r>
      <w:r>
        <w:rPr>
          <w:szCs w:val="21"/>
        </w:rPr>
        <w:t>基金</w:t>
      </w:r>
      <w:r>
        <w:rPr>
          <w:rFonts w:hint="eastAsia"/>
          <w:szCs w:val="21"/>
        </w:rPr>
        <w:t>中基金</w:t>
      </w:r>
      <w:r>
        <w:rPr>
          <w:szCs w:val="21"/>
        </w:rPr>
        <w:t>规定的为混合基金。</w:t>
      </w:r>
    </w:p>
    <w:p w:rsidR="00F22945" w:rsidRDefault="00325CE1">
      <w:pPr>
        <w:spacing w:line="276" w:lineRule="auto"/>
        <w:ind w:firstLineChars="200" w:firstLine="420"/>
        <w:rPr>
          <w:szCs w:val="21"/>
        </w:rPr>
      </w:pPr>
      <w:r>
        <w:rPr>
          <w:szCs w:val="21"/>
        </w:rPr>
        <w:t>这些基金类别</w:t>
      </w:r>
      <w:proofErr w:type="gramStart"/>
      <w:r>
        <w:rPr>
          <w:rFonts w:hint="eastAsia"/>
          <w:szCs w:val="21"/>
        </w:rPr>
        <w:t>按收益</w:t>
      </w:r>
      <w:proofErr w:type="gramEnd"/>
      <w:r>
        <w:rPr>
          <w:rFonts w:hint="eastAsia"/>
          <w:szCs w:val="21"/>
        </w:rPr>
        <w:t>和风险由高到低的排列顺序为：股票基金、混合基金、债券基金、货币市场基金，即股票基金的风险和收益最高，货币市场基金的风险和收益最低。基金中基金的收益和风险取决于其具体投资的基金类型。</w:t>
      </w:r>
    </w:p>
    <w:p w:rsidR="00F22945" w:rsidRDefault="00325CE1">
      <w:pPr>
        <w:spacing w:line="276" w:lineRule="auto"/>
        <w:ind w:firstLineChars="200" w:firstLine="420"/>
        <w:rPr>
          <w:szCs w:val="21"/>
        </w:rPr>
      </w:pPr>
      <w:r>
        <w:rPr>
          <w:szCs w:val="21"/>
        </w:rPr>
        <w:t>3</w:t>
      </w:r>
      <w:r>
        <w:rPr>
          <w:rFonts w:hint="eastAsia"/>
          <w:szCs w:val="21"/>
        </w:rPr>
        <w:t>、特殊类型基金</w:t>
      </w:r>
    </w:p>
    <w:p w:rsidR="00F22945" w:rsidRDefault="00325CE1">
      <w:pPr>
        <w:spacing w:line="276" w:lineRule="auto"/>
        <w:ind w:firstLineChars="200" w:firstLine="420"/>
        <w:rPr>
          <w:szCs w:val="21"/>
        </w:rPr>
      </w:pPr>
      <w:r>
        <w:rPr>
          <w:rFonts w:hint="eastAsia"/>
          <w:szCs w:val="21"/>
        </w:rPr>
        <w:t>（</w:t>
      </w:r>
      <w:r>
        <w:rPr>
          <w:szCs w:val="21"/>
        </w:rPr>
        <w:t>1</w:t>
      </w:r>
      <w:r>
        <w:rPr>
          <w:rFonts w:hint="eastAsia"/>
          <w:szCs w:val="21"/>
        </w:rPr>
        <w:t>）系列基金。又被称为伞型基金，是指多个基金共用一个基金合同，</w:t>
      </w:r>
      <w:proofErr w:type="gramStart"/>
      <w:r>
        <w:rPr>
          <w:rFonts w:hint="eastAsia"/>
          <w:szCs w:val="21"/>
        </w:rPr>
        <w:t>子基金</w:t>
      </w:r>
      <w:proofErr w:type="gramEnd"/>
      <w:r>
        <w:rPr>
          <w:rFonts w:hint="eastAsia"/>
          <w:szCs w:val="21"/>
        </w:rPr>
        <w:t>独立运作，</w:t>
      </w:r>
      <w:proofErr w:type="gramStart"/>
      <w:r>
        <w:rPr>
          <w:rFonts w:hint="eastAsia"/>
          <w:szCs w:val="21"/>
        </w:rPr>
        <w:t>子基金</w:t>
      </w:r>
      <w:proofErr w:type="gramEnd"/>
      <w:r>
        <w:rPr>
          <w:rFonts w:hint="eastAsia"/>
          <w:szCs w:val="21"/>
        </w:rPr>
        <w:t>之间可以进行相互转换的一种基金结构形式。</w:t>
      </w:r>
    </w:p>
    <w:p w:rsidR="00F22945" w:rsidRDefault="00325CE1">
      <w:pPr>
        <w:spacing w:line="276" w:lineRule="auto"/>
        <w:ind w:firstLineChars="200" w:firstLine="420"/>
        <w:rPr>
          <w:szCs w:val="21"/>
        </w:rPr>
      </w:pPr>
      <w:r>
        <w:rPr>
          <w:rFonts w:hint="eastAsia"/>
          <w:szCs w:val="21"/>
        </w:rPr>
        <w:t>（</w:t>
      </w:r>
      <w:r>
        <w:rPr>
          <w:szCs w:val="21"/>
        </w:rPr>
        <w:t>2</w:t>
      </w:r>
      <w:r>
        <w:rPr>
          <w:rFonts w:hint="eastAsia"/>
          <w:szCs w:val="21"/>
        </w:rPr>
        <w:t>）避险策略基金。是指通过一定的避险投资策略进行运作，同时引入相关保障机制，以在避险策略周期到期时，力求避免基金份额持有人投资本金出现亏损的公开募集证券投资基金。</w:t>
      </w:r>
    </w:p>
    <w:p w:rsidR="00F22945" w:rsidRDefault="00325CE1">
      <w:pPr>
        <w:spacing w:line="276" w:lineRule="auto"/>
        <w:ind w:firstLineChars="200" w:firstLine="420"/>
        <w:rPr>
          <w:szCs w:val="21"/>
        </w:rPr>
      </w:pPr>
      <w:r>
        <w:rPr>
          <w:rFonts w:hint="eastAsia"/>
          <w:szCs w:val="21"/>
        </w:rPr>
        <w:t>（</w:t>
      </w:r>
      <w:r>
        <w:rPr>
          <w:szCs w:val="21"/>
        </w:rPr>
        <w:t>3</w:t>
      </w:r>
      <w:r>
        <w:rPr>
          <w:rFonts w:hint="eastAsia"/>
          <w:szCs w:val="21"/>
        </w:rPr>
        <w:t>）交易型开放式指</w:t>
      </w:r>
      <w:r>
        <w:rPr>
          <w:rFonts w:ascii="宋体" w:hAnsi="宋体" w:hint="eastAsia"/>
          <w:szCs w:val="21"/>
        </w:rPr>
        <w:t>数基金</w:t>
      </w:r>
      <w:r>
        <w:rPr>
          <w:rFonts w:ascii="宋体" w:hAnsi="宋体"/>
          <w:szCs w:val="21"/>
        </w:rPr>
        <w:t>(ETF)</w:t>
      </w:r>
      <w:r>
        <w:rPr>
          <w:rFonts w:ascii="宋体" w:hAnsi="宋体" w:hint="eastAsia"/>
          <w:szCs w:val="21"/>
        </w:rPr>
        <w:t>与上市开放式基金</w:t>
      </w:r>
      <w:r>
        <w:rPr>
          <w:rFonts w:ascii="宋体" w:hAnsi="宋体"/>
          <w:szCs w:val="21"/>
        </w:rPr>
        <w:t>(LOF)</w:t>
      </w:r>
      <w:r>
        <w:rPr>
          <w:rFonts w:ascii="宋体" w:hAnsi="宋体" w:hint="eastAsia"/>
          <w:szCs w:val="21"/>
        </w:rPr>
        <w:t>。交易型开放式指数基金，通常又被称为交易所交易基金</w:t>
      </w:r>
      <w:r>
        <w:rPr>
          <w:rFonts w:ascii="宋体" w:hAnsi="宋体"/>
          <w:szCs w:val="21"/>
        </w:rPr>
        <w:t>(Exchange Traded Funds,</w:t>
      </w:r>
      <w:r>
        <w:rPr>
          <w:rFonts w:ascii="宋体" w:hAnsi="宋体" w:hint="eastAsia"/>
          <w:szCs w:val="21"/>
        </w:rPr>
        <w:t>简称“</w:t>
      </w:r>
      <w:r>
        <w:rPr>
          <w:rFonts w:ascii="宋体" w:hAnsi="宋体"/>
          <w:szCs w:val="21"/>
        </w:rPr>
        <w:t>ETF</w:t>
      </w:r>
      <w:r>
        <w:rPr>
          <w:rFonts w:ascii="宋体" w:hAnsi="宋体" w:hint="eastAsia"/>
          <w:szCs w:val="21"/>
        </w:rPr>
        <w:t>”</w:t>
      </w:r>
      <w:r>
        <w:rPr>
          <w:rFonts w:ascii="宋体" w:hAnsi="宋体"/>
          <w:szCs w:val="21"/>
        </w:rPr>
        <w:t>)</w:t>
      </w:r>
      <w:r>
        <w:rPr>
          <w:rFonts w:ascii="宋体" w:hAnsi="宋体" w:hint="eastAsia"/>
          <w:szCs w:val="21"/>
        </w:rPr>
        <w:t>，是一种在交易所上市交易的、基金份额可变的一种开放式基金。上市开放式基金</w:t>
      </w:r>
      <w:r>
        <w:rPr>
          <w:rFonts w:ascii="宋体" w:hAnsi="宋体"/>
          <w:szCs w:val="21"/>
        </w:rPr>
        <w:t>(Listed Open-ended Funds,</w:t>
      </w:r>
      <w:r>
        <w:rPr>
          <w:rFonts w:ascii="宋体" w:hAnsi="宋体" w:hint="eastAsia"/>
          <w:szCs w:val="21"/>
        </w:rPr>
        <w:t>简称“</w:t>
      </w:r>
      <w:r>
        <w:rPr>
          <w:rFonts w:ascii="宋体" w:hAnsi="宋体"/>
          <w:szCs w:val="21"/>
        </w:rPr>
        <w:t>LOF</w:t>
      </w:r>
      <w:r>
        <w:rPr>
          <w:rFonts w:ascii="宋体" w:hAnsi="宋体" w:hint="eastAsia"/>
          <w:szCs w:val="21"/>
        </w:rPr>
        <w:t>”</w:t>
      </w:r>
      <w:r>
        <w:rPr>
          <w:rFonts w:ascii="宋体" w:hAnsi="宋体"/>
          <w:szCs w:val="21"/>
        </w:rPr>
        <w:t>)</w:t>
      </w:r>
      <w:r>
        <w:rPr>
          <w:rFonts w:ascii="宋体" w:hAnsi="宋体" w:hint="eastAsia"/>
          <w:szCs w:val="21"/>
        </w:rPr>
        <w:t>是一</w:t>
      </w:r>
      <w:r>
        <w:rPr>
          <w:rFonts w:hint="eastAsia"/>
          <w:szCs w:val="21"/>
        </w:rPr>
        <w:t>种既可以在场外市场进行基金份额申购赎回，又可以在交易所（场内市场）进行基金份额交易、申购或赎回的开放式基金。</w:t>
      </w:r>
    </w:p>
    <w:p w:rsidR="00F22945" w:rsidRDefault="00325CE1">
      <w:pPr>
        <w:spacing w:line="276" w:lineRule="auto"/>
        <w:ind w:firstLineChars="200" w:firstLine="420"/>
        <w:rPr>
          <w:szCs w:val="21"/>
        </w:rPr>
      </w:pPr>
      <w:r>
        <w:rPr>
          <w:rFonts w:hint="eastAsia"/>
          <w:szCs w:val="21"/>
        </w:rPr>
        <w:t>（</w:t>
      </w:r>
      <w:r>
        <w:rPr>
          <w:szCs w:val="21"/>
        </w:rPr>
        <w:t>4</w:t>
      </w:r>
      <w:r>
        <w:rPr>
          <w:rFonts w:hint="eastAsia"/>
          <w:szCs w:val="21"/>
        </w:rPr>
        <w:t>）</w:t>
      </w:r>
      <w:r>
        <w:rPr>
          <w:rFonts w:ascii="宋体" w:hAnsi="宋体"/>
          <w:szCs w:val="21"/>
        </w:rPr>
        <w:t>QDII</w:t>
      </w:r>
      <w:r>
        <w:rPr>
          <w:rFonts w:ascii="宋体" w:hAnsi="宋体" w:hint="eastAsia"/>
          <w:szCs w:val="21"/>
        </w:rPr>
        <w:t>基金。是一</w:t>
      </w:r>
      <w:r>
        <w:rPr>
          <w:rFonts w:hint="eastAsia"/>
          <w:szCs w:val="21"/>
        </w:rPr>
        <w:t>种以境外证券市场为主要投资区域的证券投资基金，投资人可以用人民币或美元等外汇进行认购和申购，在承担境外市场相应投资风险的同时获取相应的投资收益。</w:t>
      </w:r>
      <w:r>
        <w:rPr>
          <w:rFonts w:ascii="宋体" w:hAnsi="宋体"/>
          <w:szCs w:val="21"/>
        </w:rPr>
        <w:t>QDII</w:t>
      </w:r>
      <w:r>
        <w:rPr>
          <w:rFonts w:ascii="宋体" w:hAnsi="宋体" w:hint="eastAsia"/>
          <w:szCs w:val="21"/>
        </w:rPr>
        <w:t>基金</w:t>
      </w:r>
      <w:r>
        <w:rPr>
          <w:rFonts w:hint="eastAsia"/>
          <w:szCs w:val="21"/>
        </w:rPr>
        <w:t>与普通证券投资基金的最大区别在于投资范围不同。</w:t>
      </w:r>
    </w:p>
    <w:p w:rsidR="00F22945" w:rsidRDefault="00325CE1">
      <w:pPr>
        <w:spacing w:line="276" w:lineRule="auto"/>
        <w:ind w:firstLineChars="200" w:firstLine="420"/>
        <w:rPr>
          <w:szCs w:val="21"/>
        </w:rPr>
      </w:pPr>
      <w:r>
        <w:rPr>
          <w:rFonts w:hint="eastAsia"/>
          <w:szCs w:val="21"/>
        </w:rPr>
        <w:t>（五）基金评级</w:t>
      </w:r>
    </w:p>
    <w:p w:rsidR="00F22945" w:rsidRDefault="00325CE1">
      <w:pPr>
        <w:spacing w:line="276" w:lineRule="auto"/>
        <w:ind w:firstLineChars="200" w:firstLine="420"/>
        <w:rPr>
          <w:szCs w:val="21"/>
        </w:rPr>
      </w:pPr>
      <w:r>
        <w:rPr>
          <w:rFonts w:hint="eastAsia"/>
          <w:szCs w:val="21"/>
        </w:rPr>
        <w:t>基金评级是依据一定标准对基金产品进行分析从而做出优劣评价。投资人在投资基金时，可以适当参考基金评级结果，但切不可把基金评级作为选择基金的唯一依据。此外，基金评级是对基金管理人过往的业绩表现做出评价，并不代表基金未来长期业绩的表现。</w:t>
      </w:r>
    </w:p>
    <w:p w:rsidR="00F22945" w:rsidRDefault="00325CE1">
      <w:pPr>
        <w:spacing w:line="276" w:lineRule="auto"/>
        <w:ind w:firstLineChars="200" w:firstLine="420"/>
        <w:rPr>
          <w:szCs w:val="21"/>
        </w:rPr>
      </w:pPr>
      <w:r>
        <w:rPr>
          <w:rFonts w:hint="eastAsia"/>
          <w:szCs w:val="21"/>
        </w:rPr>
        <w:t>本公司将根据销售适用性原则，对基金管理人进行审慎调查，并对基金产品进行风险评</w:t>
      </w:r>
      <w:r>
        <w:rPr>
          <w:rFonts w:hint="eastAsia"/>
          <w:szCs w:val="21"/>
        </w:rPr>
        <w:lastRenderedPageBreak/>
        <w:t>价。</w:t>
      </w:r>
    </w:p>
    <w:p w:rsidR="00F22945" w:rsidRDefault="00325CE1">
      <w:pPr>
        <w:spacing w:line="276" w:lineRule="auto"/>
        <w:ind w:firstLineChars="200" w:firstLine="420"/>
        <w:rPr>
          <w:szCs w:val="21"/>
        </w:rPr>
      </w:pPr>
      <w:bookmarkStart w:id="0" w:name="_Toc313537094"/>
      <w:r>
        <w:rPr>
          <w:rFonts w:hint="eastAsia"/>
          <w:szCs w:val="21"/>
        </w:rPr>
        <w:t>（六）基金费用</w:t>
      </w:r>
      <w:bookmarkEnd w:id="0"/>
    </w:p>
    <w:p w:rsidR="00F22945" w:rsidRDefault="00325CE1">
      <w:pPr>
        <w:spacing w:line="276" w:lineRule="auto"/>
        <w:ind w:firstLineChars="200" w:firstLine="420"/>
        <w:rPr>
          <w:rFonts w:ascii="宋体" w:hAnsi="宋体"/>
          <w:szCs w:val="21"/>
        </w:rPr>
      </w:pPr>
      <w:bookmarkStart w:id="1" w:name="_Toc313537095"/>
      <w:r>
        <w:rPr>
          <w:rFonts w:hint="eastAsia"/>
          <w:szCs w:val="21"/>
        </w:rPr>
        <w:t>基金费用一般包括两大类：一类是在基金销售过程中发生的由投资人自己承担的费用，主要包括认购费、申购费、赎回费和基金转换费。这些费用一般直接在投资人认购、申购、赎回或转换时收取。其中申购费可在投资人购买基金时收取，即前端申购费；也可在投资人卖出基金时收取，即后端申购费，其费率一般按持有期限递减。另一类是在基金管理过程中发生的费用，主要包括基金管理费、基金托管费、信息披露费等，这些费用由基金承担。对于不收取申购、赎回费的货币市场基金和部分债券基金，还可按</w:t>
      </w:r>
      <w:r>
        <w:rPr>
          <w:rFonts w:ascii="宋体" w:hAnsi="宋体" w:hint="eastAsia"/>
          <w:szCs w:val="21"/>
        </w:rPr>
        <w:t>不高于</w:t>
      </w:r>
      <w:r>
        <w:rPr>
          <w:rFonts w:ascii="宋体" w:hAnsi="宋体"/>
          <w:szCs w:val="21"/>
        </w:rPr>
        <w:t>2.5</w:t>
      </w:r>
      <w:r>
        <w:rPr>
          <w:rFonts w:ascii="宋体" w:hAnsi="宋体" w:hint="eastAsia"/>
          <w:szCs w:val="21"/>
        </w:rPr>
        <w:t>‰的比例从基金资产中计提一定的销售服务费。</w:t>
      </w:r>
      <w:bookmarkEnd w:id="1"/>
    </w:p>
    <w:p w:rsidR="00D26C20" w:rsidRPr="00D6453A" w:rsidRDefault="00325CE1" w:rsidP="00D6453A">
      <w:pPr>
        <w:spacing w:line="276" w:lineRule="auto"/>
        <w:ind w:firstLineChars="200" w:firstLine="422"/>
        <w:rPr>
          <w:rFonts w:ascii="宋体" w:hAnsi="宋体"/>
          <w:b/>
          <w:szCs w:val="21"/>
        </w:rPr>
      </w:pPr>
      <w:r>
        <w:rPr>
          <w:rFonts w:ascii="宋体" w:hAnsi="宋体" w:hint="eastAsia"/>
          <w:b/>
          <w:szCs w:val="21"/>
        </w:rPr>
        <w:t>二、基金份额持有人的权利</w:t>
      </w:r>
    </w:p>
    <w:p w:rsidR="00D26C20" w:rsidRDefault="00D26C20" w:rsidP="00D26C20">
      <w:pPr>
        <w:spacing w:line="276" w:lineRule="auto"/>
        <w:ind w:firstLineChars="200" w:firstLine="420"/>
        <w:rPr>
          <w:szCs w:val="21"/>
        </w:rPr>
      </w:pPr>
      <w:r w:rsidRPr="00D26C20">
        <w:rPr>
          <w:rFonts w:hint="eastAsia"/>
          <w:szCs w:val="21"/>
        </w:rPr>
        <w:t>（一）分享基金财产收益；</w:t>
      </w:r>
    </w:p>
    <w:p w:rsidR="00D26C20" w:rsidRPr="00D26C20" w:rsidRDefault="00D26C20" w:rsidP="00D26C20">
      <w:pPr>
        <w:spacing w:line="276" w:lineRule="auto"/>
        <w:ind w:firstLineChars="200" w:firstLine="420"/>
        <w:rPr>
          <w:szCs w:val="21"/>
        </w:rPr>
      </w:pPr>
      <w:r w:rsidRPr="00D26C20">
        <w:rPr>
          <w:rFonts w:hint="eastAsia"/>
          <w:szCs w:val="21"/>
        </w:rPr>
        <w:t>（二）参与分配清算后的剩余基金财产；</w:t>
      </w:r>
      <w:r w:rsidRPr="00D26C20">
        <w:rPr>
          <w:rFonts w:hint="eastAsia"/>
          <w:szCs w:val="21"/>
        </w:rPr>
        <w:t xml:space="preserve"> </w:t>
      </w:r>
    </w:p>
    <w:p w:rsidR="00D26C20" w:rsidRPr="00D26C20" w:rsidRDefault="00D26C20" w:rsidP="00D26C20">
      <w:pPr>
        <w:spacing w:line="276" w:lineRule="auto"/>
        <w:ind w:firstLineChars="200" w:firstLine="420"/>
        <w:rPr>
          <w:szCs w:val="21"/>
        </w:rPr>
      </w:pPr>
      <w:r w:rsidRPr="00D26C20">
        <w:rPr>
          <w:rFonts w:hint="eastAsia"/>
          <w:szCs w:val="21"/>
        </w:rPr>
        <w:t>（三）依法转让或者申请赎回其持有的基金份额；</w:t>
      </w:r>
      <w:r w:rsidRPr="00D26C20">
        <w:rPr>
          <w:rFonts w:hint="eastAsia"/>
          <w:szCs w:val="21"/>
        </w:rPr>
        <w:t xml:space="preserve"> </w:t>
      </w:r>
    </w:p>
    <w:p w:rsidR="00D26C20" w:rsidRPr="00D26C20" w:rsidRDefault="00D26C20" w:rsidP="00D26C20">
      <w:pPr>
        <w:spacing w:line="276" w:lineRule="auto"/>
        <w:ind w:firstLineChars="200" w:firstLine="420"/>
        <w:rPr>
          <w:szCs w:val="21"/>
        </w:rPr>
      </w:pPr>
      <w:r w:rsidRPr="00D26C20">
        <w:rPr>
          <w:rFonts w:hint="eastAsia"/>
          <w:szCs w:val="21"/>
        </w:rPr>
        <w:t>（四）按照规定要求召开基金份额持有人大会或者召集</w:t>
      </w:r>
      <w:r w:rsidRPr="00D26C20">
        <w:rPr>
          <w:rFonts w:hint="eastAsia"/>
          <w:szCs w:val="21"/>
        </w:rPr>
        <w:t xml:space="preserve"> </w:t>
      </w:r>
    </w:p>
    <w:p w:rsidR="00D26C20" w:rsidRPr="00D26C20" w:rsidRDefault="00D26C20" w:rsidP="00D26C20">
      <w:pPr>
        <w:spacing w:line="276" w:lineRule="auto"/>
        <w:ind w:firstLineChars="200" w:firstLine="420"/>
        <w:rPr>
          <w:szCs w:val="21"/>
        </w:rPr>
      </w:pPr>
      <w:r w:rsidRPr="00D26C20">
        <w:rPr>
          <w:rFonts w:hint="eastAsia"/>
          <w:szCs w:val="21"/>
        </w:rPr>
        <w:t>基金份额持有人大会；</w:t>
      </w:r>
      <w:r w:rsidRPr="00D26C20">
        <w:rPr>
          <w:rFonts w:hint="eastAsia"/>
          <w:szCs w:val="21"/>
        </w:rPr>
        <w:t xml:space="preserve"> </w:t>
      </w:r>
    </w:p>
    <w:p w:rsidR="00D26C20" w:rsidRPr="00D26C20" w:rsidRDefault="00D26C20" w:rsidP="00D26C20">
      <w:pPr>
        <w:spacing w:line="276" w:lineRule="auto"/>
        <w:ind w:firstLineChars="200" w:firstLine="420"/>
        <w:rPr>
          <w:szCs w:val="21"/>
        </w:rPr>
      </w:pPr>
      <w:r w:rsidRPr="00D26C20">
        <w:rPr>
          <w:rFonts w:hint="eastAsia"/>
          <w:szCs w:val="21"/>
        </w:rPr>
        <w:t>（五）对基金份额持有人大会审议事项行使表决权；</w:t>
      </w:r>
      <w:r w:rsidRPr="00D26C20">
        <w:rPr>
          <w:rFonts w:hint="eastAsia"/>
          <w:szCs w:val="21"/>
        </w:rPr>
        <w:t xml:space="preserve"> </w:t>
      </w:r>
    </w:p>
    <w:p w:rsidR="00D26C20" w:rsidRPr="00D26C20" w:rsidRDefault="00D26C20" w:rsidP="00D26C20">
      <w:pPr>
        <w:spacing w:line="276" w:lineRule="auto"/>
        <w:ind w:firstLineChars="200" w:firstLine="420"/>
        <w:rPr>
          <w:szCs w:val="21"/>
        </w:rPr>
      </w:pPr>
      <w:r w:rsidRPr="00D26C20">
        <w:rPr>
          <w:rFonts w:hint="eastAsia"/>
          <w:szCs w:val="21"/>
        </w:rPr>
        <w:t>（六）对基金管理人、基金托管人、基金服务机构损害</w:t>
      </w:r>
      <w:r w:rsidRPr="00D26C20">
        <w:rPr>
          <w:rFonts w:hint="eastAsia"/>
          <w:szCs w:val="21"/>
        </w:rPr>
        <w:t xml:space="preserve"> </w:t>
      </w:r>
    </w:p>
    <w:p w:rsidR="00D26C20" w:rsidRPr="00D26C20" w:rsidRDefault="00D26C20" w:rsidP="00D26C20">
      <w:pPr>
        <w:spacing w:line="276" w:lineRule="auto"/>
        <w:ind w:firstLineChars="200" w:firstLine="420"/>
        <w:rPr>
          <w:szCs w:val="21"/>
        </w:rPr>
      </w:pPr>
      <w:r w:rsidRPr="00D26C20">
        <w:rPr>
          <w:rFonts w:hint="eastAsia"/>
          <w:szCs w:val="21"/>
        </w:rPr>
        <w:t>其合法权益的行为依法提起诉讼；</w:t>
      </w:r>
      <w:r w:rsidRPr="00D26C20">
        <w:rPr>
          <w:rFonts w:hint="eastAsia"/>
          <w:szCs w:val="21"/>
        </w:rPr>
        <w:t xml:space="preserve"> </w:t>
      </w:r>
    </w:p>
    <w:p w:rsidR="00D26C20" w:rsidRDefault="00D26C20" w:rsidP="00D26C20">
      <w:pPr>
        <w:spacing w:line="276" w:lineRule="auto"/>
        <w:ind w:firstLineChars="200" w:firstLine="420"/>
        <w:rPr>
          <w:rFonts w:ascii="微软雅黑" w:eastAsia="微软雅黑" w:hAnsi="微软雅黑" w:cs="微软雅黑"/>
          <w:color w:val="000000"/>
          <w:kern w:val="0"/>
          <w:sz w:val="31"/>
          <w:szCs w:val="31"/>
          <w:lang w:bidi="ar"/>
        </w:rPr>
      </w:pPr>
      <w:r w:rsidRPr="00D26C20">
        <w:rPr>
          <w:rFonts w:hint="eastAsia"/>
          <w:szCs w:val="21"/>
        </w:rPr>
        <w:t>（七）基金合同约定的其他权利。</w:t>
      </w:r>
    </w:p>
    <w:p w:rsidR="00F22945" w:rsidRDefault="00325CE1">
      <w:pPr>
        <w:spacing w:line="276" w:lineRule="auto"/>
        <w:ind w:firstLineChars="200" w:firstLine="420"/>
        <w:rPr>
          <w:szCs w:val="21"/>
        </w:rPr>
      </w:pPr>
      <w:proofErr w:type="gramStart"/>
      <w:r>
        <w:rPr>
          <w:rFonts w:hint="eastAsia"/>
          <w:szCs w:val="21"/>
        </w:rPr>
        <w:t>资管计划</w:t>
      </w:r>
      <w:proofErr w:type="gramEnd"/>
      <w:r>
        <w:rPr>
          <w:rFonts w:hint="eastAsia"/>
          <w:szCs w:val="21"/>
        </w:rPr>
        <w:t>持有人的权利参照计划合同的约定。</w:t>
      </w:r>
    </w:p>
    <w:p w:rsidR="00F22945" w:rsidRDefault="00325CE1">
      <w:pPr>
        <w:spacing w:line="276" w:lineRule="auto"/>
        <w:ind w:firstLineChars="200" w:firstLine="422"/>
        <w:rPr>
          <w:b/>
          <w:szCs w:val="21"/>
        </w:rPr>
      </w:pPr>
      <w:r>
        <w:rPr>
          <w:rFonts w:hint="eastAsia"/>
          <w:b/>
          <w:szCs w:val="21"/>
        </w:rPr>
        <w:t>三、专业投资者和普通投资者</w:t>
      </w:r>
    </w:p>
    <w:p w:rsidR="00F22945" w:rsidRDefault="00325CE1">
      <w:pPr>
        <w:spacing w:line="276" w:lineRule="auto"/>
        <w:ind w:firstLineChars="200" w:firstLine="420"/>
        <w:rPr>
          <w:szCs w:val="21"/>
        </w:rPr>
      </w:pPr>
      <w:r>
        <w:rPr>
          <w:rFonts w:hint="eastAsia"/>
          <w:szCs w:val="21"/>
        </w:rPr>
        <w:t>基金</w:t>
      </w:r>
      <w:r>
        <w:rPr>
          <w:szCs w:val="21"/>
        </w:rPr>
        <w:t>投资</w:t>
      </w:r>
      <w:r>
        <w:rPr>
          <w:rFonts w:hint="eastAsia"/>
          <w:szCs w:val="21"/>
        </w:rPr>
        <w:t>者</w:t>
      </w:r>
      <w:r>
        <w:rPr>
          <w:szCs w:val="21"/>
        </w:rPr>
        <w:t>分为专业投资者和普通投资者</w:t>
      </w:r>
      <w:r>
        <w:rPr>
          <w:rFonts w:hint="eastAsia"/>
          <w:szCs w:val="21"/>
        </w:rPr>
        <w:t>，基金</w:t>
      </w:r>
      <w:r>
        <w:rPr>
          <w:szCs w:val="21"/>
        </w:rPr>
        <w:t>募集机构对于</w:t>
      </w:r>
      <w:r>
        <w:rPr>
          <w:rFonts w:hint="eastAsia"/>
          <w:szCs w:val="21"/>
        </w:rPr>
        <w:t>普通</w:t>
      </w:r>
      <w:r>
        <w:rPr>
          <w:szCs w:val="21"/>
        </w:rPr>
        <w:t>投资者承担</w:t>
      </w:r>
      <w:r>
        <w:rPr>
          <w:rFonts w:hint="eastAsia"/>
          <w:szCs w:val="21"/>
        </w:rPr>
        <w:t>更高</w:t>
      </w:r>
      <w:r>
        <w:rPr>
          <w:szCs w:val="21"/>
        </w:rPr>
        <w:t>程度的投资适当性义务。</w:t>
      </w:r>
    </w:p>
    <w:p w:rsidR="00F22945" w:rsidRDefault="00325CE1">
      <w:pPr>
        <w:spacing w:line="276" w:lineRule="auto"/>
        <w:ind w:firstLineChars="200" w:firstLine="420"/>
        <w:rPr>
          <w:szCs w:val="21"/>
        </w:rPr>
      </w:pPr>
      <w:r>
        <w:rPr>
          <w:rFonts w:hint="eastAsia"/>
          <w:szCs w:val="21"/>
        </w:rPr>
        <w:t>符合下列条件之一的是专业投资者：</w:t>
      </w:r>
    </w:p>
    <w:p w:rsidR="00F22945" w:rsidRDefault="00325CE1">
      <w:pPr>
        <w:spacing w:line="276" w:lineRule="auto"/>
        <w:ind w:firstLineChars="200" w:firstLine="420"/>
        <w:rPr>
          <w:szCs w:val="21"/>
        </w:rPr>
      </w:pPr>
      <w:r>
        <w:rPr>
          <w:rFonts w:hint="eastAsia"/>
          <w:szCs w:val="21"/>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F22945" w:rsidRDefault="00325CE1">
      <w:pPr>
        <w:spacing w:line="276" w:lineRule="auto"/>
        <w:ind w:firstLineChars="200" w:firstLine="420"/>
        <w:rPr>
          <w:szCs w:val="21"/>
        </w:rPr>
      </w:pPr>
      <w:r>
        <w:rPr>
          <w:rFonts w:hint="eastAsia"/>
          <w:szCs w:val="21"/>
        </w:rPr>
        <w:t>（二）上述机构面向投资者发行的理财产品，包括但不限于证券公司资产管理产品、基金管理公司及其子公司产品、期货公司资产管理产品、银行理财产品、保险产品、信托产品、经行业协会备案的私募基金。</w:t>
      </w:r>
    </w:p>
    <w:p w:rsidR="00F22945" w:rsidRDefault="00325CE1">
      <w:pPr>
        <w:spacing w:line="276" w:lineRule="auto"/>
        <w:ind w:firstLineChars="200" w:firstLine="420"/>
        <w:rPr>
          <w:szCs w:val="21"/>
        </w:rPr>
      </w:pPr>
      <w:r>
        <w:rPr>
          <w:rFonts w:hint="eastAsia"/>
          <w:szCs w:val="21"/>
        </w:rPr>
        <w:t>（三）社会保障基金、企业年金等养老基金，慈善基金等社会公益基金，合格境外机构投资者（</w:t>
      </w:r>
      <w:r>
        <w:rPr>
          <w:szCs w:val="21"/>
        </w:rPr>
        <w:t>QFII</w:t>
      </w:r>
      <w:r>
        <w:rPr>
          <w:rFonts w:hint="eastAsia"/>
          <w:szCs w:val="21"/>
        </w:rPr>
        <w:t>）、人民币合格境外机构投资者（</w:t>
      </w:r>
      <w:r>
        <w:rPr>
          <w:szCs w:val="21"/>
        </w:rPr>
        <w:t>RQFII</w:t>
      </w:r>
      <w:r>
        <w:rPr>
          <w:rFonts w:hint="eastAsia"/>
          <w:szCs w:val="21"/>
        </w:rPr>
        <w:t>）。</w:t>
      </w:r>
    </w:p>
    <w:p w:rsidR="00F22945" w:rsidRDefault="00325CE1">
      <w:pPr>
        <w:spacing w:line="276" w:lineRule="auto"/>
        <w:ind w:firstLineChars="200" w:firstLine="420"/>
        <w:rPr>
          <w:szCs w:val="21"/>
        </w:rPr>
      </w:pPr>
      <w:r>
        <w:rPr>
          <w:rFonts w:hint="eastAsia"/>
          <w:szCs w:val="21"/>
        </w:rPr>
        <w:t>（四）同时符合下列条件的法人或者其他组织：</w:t>
      </w:r>
    </w:p>
    <w:p w:rsidR="00F22945" w:rsidRDefault="00325CE1">
      <w:pPr>
        <w:spacing w:line="276" w:lineRule="auto"/>
        <w:ind w:firstLineChars="200" w:firstLine="420"/>
        <w:rPr>
          <w:szCs w:val="21"/>
        </w:rPr>
      </w:pPr>
      <w:r>
        <w:rPr>
          <w:szCs w:val="21"/>
        </w:rPr>
        <w:t>1.</w:t>
      </w:r>
      <w:r>
        <w:rPr>
          <w:rFonts w:hint="eastAsia"/>
          <w:szCs w:val="21"/>
        </w:rPr>
        <w:t>最近</w:t>
      </w:r>
      <w:r>
        <w:rPr>
          <w:szCs w:val="21"/>
        </w:rPr>
        <w:t xml:space="preserve">1 </w:t>
      </w:r>
      <w:r>
        <w:rPr>
          <w:rFonts w:hint="eastAsia"/>
          <w:szCs w:val="21"/>
        </w:rPr>
        <w:t>年末净资产不低于</w:t>
      </w:r>
      <w:r>
        <w:rPr>
          <w:szCs w:val="21"/>
        </w:rPr>
        <w:t xml:space="preserve">2000 </w:t>
      </w:r>
      <w:r>
        <w:rPr>
          <w:rFonts w:hint="eastAsia"/>
          <w:szCs w:val="21"/>
        </w:rPr>
        <w:t>万元；</w:t>
      </w:r>
    </w:p>
    <w:p w:rsidR="00F22945" w:rsidRDefault="00325CE1">
      <w:pPr>
        <w:spacing w:line="276" w:lineRule="auto"/>
        <w:ind w:firstLineChars="200" w:firstLine="420"/>
        <w:rPr>
          <w:szCs w:val="21"/>
        </w:rPr>
      </w:pPr>
      <w:r>
        <w:rPr>
          <w:szCs w:val="21"/>
        </w:rPr>
        <w:t>2.</w:t>
      </w:r>
      <w:r>
        <w:rPr>
          <w:rFonts w:hint="eastAsia"/>
          <w:szCs w:val="21"/>
        </w:rPr>
        <w:t>最近</w:t>
      </w:r>
      <w:r>
        <w:rPr>
          <w:szCs w:val="21"/>
        </w:rPr>
        <w:t xml:space="preserve">1 </w:t>
      </w:r>
      <w:r>
        <w:rPr>
          <w:rFonts w:hint="eastAsia"/>
          <w:szCs w:val="21"/>
        </w:rPr>
        <w:t>年末金融资产不低于</w:t>
      </w:r>
      <w:r>
        <w:rPr>
          <w:szCs w:val="21"/>
        </w:rPr>
        <w:t xml:space="preserve">1000 </w:t>
      </w:r>
      <w:r>
        <w:rPr>
          <w:rFonts w:hint="eastAsia"/>
          <w:szCs w:val="21"/>
        </w:rPr>
        <w:t>万元；</w:t>
      </w:r>
    </w:p>
    <w:p w:rsidR="00F22945" w:rsidRDefault="00325CE1">
      <w:pPr>
        <w:spacing w:line="276" w:lineRule="auto"/>
        <w:ind w:firstLineChars="200" w:firstLine="420"/>
        <w:rPr>
          <w:szCs w:val="21"/>
        </w:rPr>
      </w:pPr>
      <w:r>
        <w:rPr>
          <w:szCs w:val="21"/>
        </w:rPr>
        <w:t>3.</w:t>
      </w:r>
      <w:r>
        <w:rPr>
          <w:rFonts w:hint="eastAsia"/>
          <w:szCs w:val="21"/>
        </w:rPr>
        <w:t>具有</w:t>
      </w:r>
      <w:r>
        <w:rPr>
          <w:szCs w:val="21"/>
        </w:rPr>
        <w:t xml:space="preserve">2 </w:t>
      </w:r>
      <w:r>
        <w:rPr>
          <w:rFonts w:hint="eastAsia"/>
          <w:szCs w:val="21"/>
        </w:rPr>
        <w:t>年以上证券、基金、期货、黄金、外汇等投资经历。</w:t>
      </w:r>
    </w:p>
    <w:p w:rsidR="00F22945" w:rsidRDefault="00325CE1">
      <w:pPr>
        <w:spacing w:line="276" w:lineRule="auto"/>
        <w:ind w:firstLineChars="200" w:firstLine="420"/>
        <w:rPr>
          <w:szCs w:val="21"/>
        </w:rPr>
      </w:pPr>
      <w:r>
        <w:rPr>
          <w:rFonts w:hint="eastAsia"/>
          <w:szCs w:val="21"/>
        </w:rPr>
        <w:t>（五）同时符合下列条件的自然人：</w:t>
      </w:r>
    </w:p>
    <w:p w:rsidR="00F22945" w:rsidRDefault="00325CE1">
      <w:pPr>
        <w:spacing w:line="276" w:lineRule="auto"/>
        <w:ind w:firstLineChars="200" w:firstLine="420"/>
        <w:rPr>
          <w:szCs w:val="21"/>
        </w:rPr>
      </w:pPr>
      <w:r>
        <w:rPr>
          <w:szCs w:val="21"/>
        </w:rPr>
        <w:t>1.</w:t>
      </w:r>
      <w:r>
        <w:rPr>
          <w:rFonts w:hint="eastAsia"/>
          <w:szCs w:val="21"/>
        </w:rPr>
        <w:t>金融资产不低于</w:t>
      </w:r>
      <w:r>
        <w:rPr>
          <w:szCs w:val="21"/>
        </w:rPr>
        <w:t xml:space="preserve">500 </w:t>
      </w:r>
      <w:r>
        <w:rPr>
          <w:rFonts w:hint="eastAsia"/>
          <w:szCs w:val="21"/>
        </w:rPr>
        <w:t>万元，或者最近</w:t>
      </w:r>
      <w:r>
        <w:rPr>
          <w:szCs w:val="21"/>
        </w:rPr>
        <w:t xml:space="preserve">3 </w:t>
      </w:r>
      <w:r>
        <w:rPr>
          <w:rFonts w:hint="eastAsia"/>
          <w:szCs w:val="21"/>
        </w:rPr>
        <w:t>年个人年均收入不低于</w:t>
      </w:r>
      <w:r>
        <w:rPr>
          <w:szCs w:val="21"/>
        </w:rPr>
        <w:t xml:space="preserve">50 </w:t>
      </w:r>
      <w:r>
        <w:rPr>
          <w:rFonts w:hint="eastAsia"/>
          <w:szCs w:val="21"/>
        </w:rPr>
        <w:t>万元；</w:t>
      </w:r>
    </w:p>
    <w:p w:rsidR="00F22945" w:rsidRDefault="00325CE1">
      <w:pPr>
        <w:spacing w:line="276" w:lineRule="auto"/>
        <w:ind w:firstLineChars="200" w:firstLine="420"/>
        <w:rPr>
          <w:szCs w:val="21"/>
        </w:rPr>
      </w:pPr>
      <w:r>
        <w:rPr>
          <w:szCs w:val="21"/>
        </w:rPr>
        <w:t>2.</w:t>
      </w:r>
      <w:r>
        <w:rPr>
          <w:rFonts w:hint="eastAsia"/>
          <w:szCs w:val="21"/>
        </w:rPr>
        <w:t>具有</w:t>
      </w:r>
      <w:r>
        <w:rPr>
          <w:szCs w:val="21"/>
        </w:rPr>
        <w:t xml:space="preserve">2 </w:t>
      </w:r>
      <w:r>
        <w:rPr>
          <w:rFonts w:hint="eastAsia"/>
          <w:szCs w:val="21"/>
        </w:rPr>
        <w:t>年以上证券、基金、期货、黄金、外汇等投资经历，或者具有</w:t>
      </w:r>
      <w:r>
        <w:rPr>
          <w:szCs w:val="21"/>
        </w:rPr>
        <w:t xml:space="preserve">2 </w:t>
      </w:r>
      <w:r>
        <w:rPr>
          <w:rFonts w:hint="eastAsia"/>
          <w:szCs w:val="21"/>
        </w:rPr>
        <w:t>年以上金融产</w:t>
      </w:r>
      <w:r>
        <w:rPr>
          <w:rFonts w:hint="eastAsia"/>
          <w:szCs w:val="21"/>
        </w:rPr>
        <w:lastRenderedPageBreak/>
        <w:t>品设计、投资、风险管理及相关工作经历，或者属于本条第（一）项规定的专业投资者的高级管理人员、获得职业资格认证的从事金融相关业务的注册会计师和律师。前款所称金融资产，是指银行存款、股票、债券、基金份额、资产管理计划、银行理财产品、信托计划、保险产品、期货及其他衍生产品等。</w:t>
      </w:r>
    </w:p>
    <w:p w:rsidR="00F22945" w:rsidRDefault="00325CE1">
      <w:pPr>
        <w:spacing w:line="276" w:lineRule="auto"/>
        <w:ind w:firstLineChars="200" w:firstLine="420"/>
        <w:rPr>
          <w:szCs w:val="21"/>
        </w:rPr>
      </w:pPr>
      <w:r>
        <w:rPr>
          <w:rFonts w:hint="eastAsia"/>
          <w:szCs w:val="21"/>
        </w:rPr>
        <w:t>专业投资者之外的投资者为普通投资者。</w:t>
      </w:r>
    </w:p>
    <w:p w:rsidR="00F22945" w:rsidRDefault="00325CE1">
      <w:pPr>
        <w:spacing w:line="276" w:lineRule="auto"/>
        <w:ind w:firstLineChars="200" w:firstLine="422"/>
        <w:rPr>
          <w:b/>
          <w:szCs w:val="21"/>
        </w:rPr>
      </w:pPr>
      <w:r>
        <w:rPr>
          <w:rFonts w:hint="eastAsia"/>
          <w:b/>
          <w:szCs w:val="21"/>
        </w:rPr>
        <w:t>四、专业投资者与普通投资者之间的互相转化</w:t>
      </w:r>
    </w:p>
    <w:p w:rsidR="00F22945" w:rsidRDefault="00325CE1">
      <w:pPr>
        <w:spacing w:line="276" w:lineRule="auto"/>
        <w:ind w:firstLineChars="200" w:firstLine="420"/>
        <w:rPr>
          <w:szCs w:val="21"/>
        </w:rPr>
      </w:pPr>
      <w:r>
        <w:rPr>
          <w:szCs w:val="21"/>
        </w:rPr>
        <w:t>符合</w:t>
      </w:r>
      <w:r>
        <w:rPr>
          <w:rFonts w:hint="eastAsia"/>
          <w:szCs w:val="21"/>
        </w:rPr>
        <w:t>第三条</w:t>
      </w:r>
      <w:r>
        <w:rPr>
          <w:szCs w:val="21"/>
        </w:rPr>
        <w:t>、第（四）、（五）项规定的专业投资者，可以书面告知销售机构选择成为普通投资者。</w:t>
      </w:r>
    </w:p>
    <w:p w:rsidR="00F22945" w:rsidRDefault="00325CE1">
      <w:pPr>
        <w:spacing w:line="276" w:lineRule="auto"/>
        <w:ind w:firstLineChars="200" w:firstLine="420"/>
        <w:rPr>
          <w:szCs w:val="21"/>
        </w:rPr>
      </w:pPr>
      <w:r>
        <w:rPr>
          <w:szCs w:val="21"/>
        </w:rPr>
        <w:t>符合下列条件之一的普通投资者可以申请转化成为专业投资者，但销售机构有权自主决定是否同意其转化：</w:t>
      </w:r>
    </w:p>
    <w:p w:rsidR="00F22945" w:rsidRDefault="00325CE1">
      <w:pPr>
        <w:spacing w:line="276" w:lineRule="auto"/>
        <w:ind w:firstLineChars="200" w:firstLine="420"/>
        <w:rPr>
          <w:szCs w:val="21"/>
        </w:rPr>
      </w:pPr>
      <w:r>
        <w:rPr>
          <w:szCs w:val="21"/>
        </w:rPr>
        <w:t>（一）最近</w:t>
      </w:r>
      <w:r>
        <w:rPr>
          <w:szCs w:val="21"/>
        </w:rPr>
        <w:t>1</w:t>
      </w:r>
      <w:r>
        <w:rPr>
          <w:szCs w:val="21"/>
        </w:rPr>
        <w:t>年末净资产不低于</w:t>
      </w:r>
      <w:r>
        <w:rPr>
          <w:szCs w:val="21"/>
        </w:rPr>
        <w:t>1000</w:t>
      </w:r>
      <w:r>
        <w:rPr>
          <w:szCs w:val="21"/>
        </w:rPr>
        <w:t>万元，最近</w:t>
      </w:r>
      <w:r>
        <w:rPr>
          <w:szCs w:val="21"/>
        </w:rPr>
        <w:t>1</w:t>
      </w:r>
      <w:r>
        <w:rPr>
          <w:szCs w:val="21"/>
        </w:rPr>
        <w:t>年末金融资产不低于</w:t>
      </w:r>
      <w:r>
        <w:rPr>
          <w:szCs w:val="21"/>
        </w:rPr>
        <w:t>500</w:t>
      </w:r>
      <w:r>
        <w:rPr>
          <w:szCs w:val="21"/>
        </w:rPr>
        <w:t>万元，且具有</w:t>
      </w:r>
      <w:r>
        <w:rPr>
          <w:szCs w:val="21"/>
        </w:rPr>
        <w:t>1</w:t>
      </w:r>
      <w:r>
        <w:rPr>
          <w:szCs w:val="21"/>
        </w:rPr>
        <w:t>年以上证券、基金、期货、黄金、外汇等投资经历的除专业投资者外的法人或其他组织；</w:t>
      </w:r>
    </w:p>
    <w:p w:rsidR="00F22945" w:rsidRDefault="00325CE1">
      <w:pPr>
        <w:spacing w:line="276" w:lineRule="auto"/>
        <w:ind w:firstLineChars="200" w:firstLine="420"/>
        <w:rPr>
          <w:szCs w:val="21"/>
        </w:rPr>
      </w:pPr>
      <w:r>
        <w:rPr>
          <w:szCs w:val="21"/>
        </w:rPr>
        <w:t>（二）金融资产不低于</w:t>
      </w:r>
      <w:r>
        <w:rPr>
          <w:szCs w:val="21"/>
        </w:rPr>
        <w:t>300</w:t>
      </w:r>
      <w:r>
        <w:rPr>
          <w:szCs w:val="21"/>
        </w:rPr>
        <w:t>万元或者最近</w:t>
      </w:r>
      <w:r>
        <w:rPr>
          <w:szCs w:val="21"/>
        </w:rPr>
        <w:t>3</w:t>
      </w:r>
      <w:r>
        <w:rPr>
          <w:szCs w:val="21"/>
        </w:rPr>
        <w:t>年个人年均收入不低于</w:t>
      </w:r>
      <w:r>
        <w:rPr>
          <w:szCs w:val="21"/>
        </w:rPr>
        <w:t>30</w:t>
      </w:r>
      <w:r>
        <w:rPr>
          <w:szCs w:val="21"/>
        </w:rPr>
        <w:t>万元，且具有</w:t>
      </w:r>
      <w:r>
        <w:rPr>
          <w:szCs w:val="21"/>
        </w:rPr>
        <w:t>1</w:t>
      </w:r>
      <w:r>
        <w:rPr>
          <w:szCs w:val="21"/>
        </w:rPr>
        <w:t>年以上证券、基金、期货、黄金、外汇等投资经历或者</w:t>
      </w:r>
      <w:r>
        <w:rPr>
          <w:szCs w:val="21"/>
        </w:rPr>
        <w:t>1</w:t>
      </w:r>
      <w:r>
        <w:rPr>
          <w:szCs w:val="21"/>
        </w:rPr>
        <w:t>年以上金融产品设计、投资、风险管理及相关工作经历的自然人投资者。</w:t>
      </w:r>
    </w:p>
    <w:p w:rsidR="00F22945" w:rsidRDefault="00325CE1">
      <w:pPr>
        <w:spacing w:line="276" w:lineRule="auto"/>
        <w:ind w:firstLineChars="200" w:firstLine="422"/>
        <w:rPr>
          <w:b/>
          <w:szCs w:val="21"/>
        </w:rPr>
      </w:pPr>
      <w:r>
        <w:rPr>
          <w:rFonts w:hint="eastAsia"/>
          <w:b/>
          <w:szCs w:val="21"/>
        </w:rPr>
        <w:t>五、投资者适当性匹配制度</w:t>
      </w:r>
    </w:p>
    <w:p w:rsidR="00F22945" w:rsidRDefault="00754935">
      <w:pPr>
        <w:spacing w:line="276" w:lineRule="auto"/>
        <w:ind w:firstLineChars="200" w:firstLine="420"/>
        <w:rPr>
          <w:szCs w:val="21"/>
        </w:rPr>
      </w:pPr>
      <w:r>
        <w:rPr>
          <w:rFonts w:hint="eastAsia"/>
          <w:szCs w:val="21"/>
        </w:rPr>
        <w:t>（一）</w:t>
      </w:r>
      <w:r w:rsidR="00325CE1">
        <w:rPr>
          <w:rFonts w:hint="eastAsia"/>
          <w:szCs w:val="21"/>
        </w:rPr>
        <w:t>本公司将普通</w:t>
      </w:r>
      <w:r w:rsidR="00325CE1">
        <w:rPr>
          <w:szCs w:val="21"/>
        </w:rPr>
        <w:t>投资者分为</w:t>
      </w:r>
      <w:r w:rsidR="00010535" w:rsidRPr="009A6473">
        <w:rPr>
          <w:rFonts w:hint="eastAsia"/>
          <w:szCs w:val="21"/>
        </w:rPr>
        <w:t>进取型、积极型、稳健型、保守型、安全型、最低型</w:t>
      </w:r>
      <w:r w:rsidR="00325CE1">
        <w:rPr>
          <w:rFonts w:hint="eastAsia"/>
          <w:szCs w:val="21"/>
        </w:rPr>
        <w:t>共</w:t>
      </w:r>
      <w:r w:rsidR="009106FD">
        <w:rPr>
          <w:rFonts w:hint="eastAsia"/>
          <w:szCs w:val="21"/>
        </w:rPr>
        <w:t>六</w:t>
      </w:r>
      <w:r w:rsidR="00325CE1">
        <w:rPr>
          <w:szCs w:val="21"/>
        </w:rPr>
        <w:t>种</w:t>
      </w:r>
      <w:r w:rsidR="00325CE1">
        <w:rPr>
          <w:rFonts w:hint="eastAsia"/>
          <w:szCs w:val="21"/>
        </w:rPr>
        <w:t>风险</w:t>
      </w:r>
      <w:r w:rsidR="00325CE1">
        <w:rPr>
          <w:szCs w:val="21"/>
        </w:rPr>
        <w:t>能力承受水平</w:t>
      </w:r>
      <w:r w:rsidR="00325CE1">
        <w:rPr>
          <w:rFonts w:hint="eastAsia"/>
          <w:szCs w:val="21"/>
        </w:rPr>
        <w:t>。我司将旗下</w:t>
      </w:r>
      <w:r w:rsidR="00325CE1">
        <w:rPr>
          <w:szCs w:val="21"/>
        </w:rPr>
        <w:t>产品</w:t>
      </w:r>
      <w:r w:rsidR="00325CE1">
        <w:rPr>
          <w:rFonts w:hint="eastAsia"/>
          <w:szCs w:val="21"/>
        </w:rPr>
        <w:t>分为高风险、中高风险、中等风险、中低风险和低风险五种类型。</w:t>
      </w:r>
    </w:p>
    <w:p w:rsidR="00F22945" w:rsidRDefault="00325CE1">
      <w:pPr>
        <w:spacing w:line="276" w:lineRule="auto"/>
        <w:ind w:firstLineChars="200" w:firstLine="420"/>
        <w:rPr>
          <w:szCs w:val="21"/>
        </w:rPr>
      </w:pPr>
      <w:r>
        <w:rPr>
          <w:rFonts w:hint="eastAsia"/>
          <w:szCs w:val="21"/>
        </w:rPr>
        <w:t>（二</w:t>
      </w:r>
      <w:r>
        <w:rPr>
          <w:szCs w:val="21"/>
        </w:rPr>
        <w:t>）</w:t>
      </w:r>
      <w:r>
        <w:rPr>
          <w:rFonts w:hint="eastAsia"/>
          <w:szCs w:val="21"/>
        </w:rPr>
        <w:t>投资者类型</w:t>
      </w:r>
      <w:r>
        <w:rPr>
          <w:szCs w:val="21"/>
        </w:rPr>
        <w:t>及</w:t>
      </w:r>
      <w:r>
        <w:rPr>
          <w:rFonts w:hint="eastAsia"/>
          <w:szCs w:val="21"/>
        </w:rPr>
        <w:t>风险承受能力等级和金融产品或者服务风险等级的匹配标准：</w:t>
      </w:r>
    </w:p>
    <w:p w:rsidR="00F22945" w:rsidRDefault="00325CE1">
      <w:pPr>
        <w:pStyle w:val="21"/>
        <w:numPr>
          <w:ilvl w:val="0"/>
          <w:numId w:val="1"/>
        </w:numPr>
        <w:spacing w:line="276" w:lineRule="auto"/>
        <w:ind w:left="0" w:firstLine="420"/>
        <w:rPr>
          <w:szCs w:val="21"/>
        </w:rPr>
      </w:pPr>
      <w:r>
        <w:rPr>
          <w:szCs w:val="21"/>
        </w:rPr>
        <w:t>专业投资者</w:t>
      </w:r>
      <w:r>
        <w:rPr>
          <w:rFonts w:hint="eastAsia"/>
          <w:szCs w:val="21"/>
        </w:rPr>
        <w:t>可以购买</w:t>
      </w:r>
      <w:r>
        <w:rPr>
          <w:szCs w:val="21"/>
        </w:rPr>
        <w:t>所有风险等级的</w:t>
      </w:r>
      <w:r>
        <w:rPr>
          <w:rFonts w:hint="eastAsia"/>
          <w:szCs w:val="21"/>
        </w:rPr>
        <w:t>金融</w:t>
      </w:r>
      <w:r>
        <w:rPr>
          <w:szCs w:val="21"/>
        </w:rPr>
        <w:t>产品</w:t>
      </w:r>
      <w:r>
        <w:rPr>
          <w:rFonts w:hint="eastAsia"/>
          <w:szCs w:val="21"/>
        </w:rPr>
        <w:t>或</w:t>
      </w:r>
      <w:r>
        <w:rPr>
          <w:szCs w:val="21"/>
        </w:rPr>
        <w:t>金融服务。</w:t>
      </w:r>
    </w:p>
    <w:p w:rsidR="00F22945" w:rsidRDefault="00010535">
      <w:pPr>
        <w:pStyle w:val="21"/>
        <w:numPr>
          <w:ilvl w:val="0"/>
          <w:numId w:val="1"/>
        </w:numPr>
        <w:spacing w:line="276" w:lineRule="auto"/>
        <w:ind w:left="0" w:firstLine="420"/>
        <w:rPr>
          <w:szCs w:val="21"/>
        </w:rPr>
      </w:pPr>
      <w:r>
        <w:rPr>
          <w:rFonts w:hint="eastAsia"/>
          <w:szCs w:val="21"/>
        </w:rPr>
        <w:t>进取型</w:t>
      </w:r>
      <w:r w:rsidR="00325CE1">
        <w:rPr>
          <w:rFonts w:hint="eastAsia"/>
          <w:szCs w:val="21"/>
        </w:rPr>
        <w:t>投资者</w:t>
      </w:r>
      <w:r w:rsidR="00325CE1">
        <w:rPr>
          <w:szCs w:val="21"/>
        </w:rPr>
        <w:t>可以购买</w:t>
      </w:r>
      <w:r w:rsidR="00325CE1">
        <w:rPr>
          <w:rFonts w:hint="eastAsia"/>
          <w:szCs w:val="21"/>
        </w:rPr>
        <w:t>或接受高</w:t>
      </w:r>
      <w:r w:rsidR="00325CE1">
        <w:rPr>
          <w:szCs w:val="21"/>
        </w:rPr>
        <w:t>风险、</w:t>
      </w:r>
      <w:r w:rsidR="00325CE1">
        <w:rPr>
          <w:rFonts w:hint="eastAsia"/>
          <w:szCs w:val="21"/>
        </w:rPr>
        <w:t>中高风险、中等风险、中低风险和低风险的金融产品或金融服务；</w:t>
      </w:r>
    </w:p>
    <w:p w:rsidR="00F22945" w:rsidRDefault="00010535">
      <w:pPr>
        <w:pStyle w:val="21"/>
        <w:numPr>
          <w:ilvl w:val="0"/>
          <w:numId w:val="1"/>
        </w:numPr>
        <w:spacing w:line="276" w:lineRule="auto"/>
        <w:ind w:left="0" w:firstLine="420"/>
        <w:rPr>
          <w:szCs w:val="21"/>
        </w:rPr>
      </w:pPr>
      <w:r>
        <w:rPr>
          <w:rFonts w:hint="eastAsia"/>
          <w:szCs w:val="21"/>
        </w:rPr>
        <w:t>积极型</w:t>
      </w:r>
      <w:r w:rsidR="00325CE1">
        <w:rPr>
          <w:rFonts w:hint="eastAsia"/>
          <w:szCs w:val="21"/>
        </w:rPr>
        <w:t>投资者</w:t>
      </w:r>
      <w:r w:rsidR="00325CE1">
        <w:rPr>
          <w:szCs w:val="21"/>
        </w:rPr>
        <w:t>可以购买</w:t>
      </w:r>
      <w:r w:rsidR="00325CE1">
        <w:rPr>
          <w:rFonts w:hint="eastAsia"/>
          <w:szCs w:val="21"/>
        </w:rPr>
        <w:t>或接受中高风险、中等风险、中低风险和低风险的金融产品或金融服务；</w:t>
      </w:r>
    </w:p>
    <w:p w:rsidR="00F22945" w:rsidRDefault="00010535">
      <w:pPr>
        <w:pStyle w:val="21"/>
        <w:numPr>
          <w:ilvl w:val="0"/>
          <w:numId w:val="1"/>
        </w:numPr>
        <w:spacing w:line="276" w:lineRule="auto"/>
        <w:ind w:left="0" w:firstLine="420"/>
        <w:rPr>
          <w:szCs w:val="21"/>
        </w:rPr>
      </w:pPr>
      <w:r>
        <w:rPr>
          <w:rFonts w:hint="eastAsia"/>
          <w:szCs w:val="21"/>
        </w:rPr>
        <w:t>稳健型</w:t>
      </w:r>
      <w:r w:rsidR="00325CE1">
        <w:rPr>
          <w:rFonts w:hint="eastAsia"/>
          <w:szCs w:val="21"/>
        </w:rPr>
        <w:t>投资者</w:t>
      </w:r>
      <w:r w:rsidR="00325CE1">
        <w:rPr>
          <w:szCs w:val="21"/>
        </w:rPr>
        <w:t>可以购买</w:t>
      </w:r>
      <w:r w:rsidR="00325CE1">
        <w:rPr>
          <w:rFonts w:hint="eastAsia"/>
          <w:szCs w:val="21"/>
        </w:rPr>
        <w:t>或接受中等风险、中低风险和低风险的金融产品或金融服务；</w:t>
      </w:r>
    </w:p>
    <w:p w:rsidR="00F22945" w:rsidRDefault="00010535">
      <w:pPr>
        <w:pStyle w:val="21"/>
        <w:numPr>
          <w:ilvl w:val="0"/>
          <w:numId w:val="1"/>
        </w:numPr>
        <w:spacing w:line="276" w:lineRule="auto"/>
        <w:ind w:left="0" w:firstLine="420"/>
        <w:rPr>
          <w:szCs w:val="21"/>
        </w:rPr>
      </w:pPr>
      <w:r>
        <w:rPr>
          <w:rFonts w:hint="eastAsia"/>
          <w:szCs w:val="21"/>
        </w:rPr>
        <w:t>保守型</w:t>
      </w:r>
      <w:r w:rsidR="00325CE1">
        <w:rPr>
          <w:rFonts w:hint="eastAsia"/>
          <w:szCs w:val="21"/>
        </w:rPr>
        <w:t>投资者</w:t>
      </w:r>
      <w:r w:rsidR="00325CE1">
        <w:rPr>
          <w:szCs w:val="21"/>
        </w:rPr>
        <w:t>可以购买</w:t>
      </w:r>
      <w:r w:rsidR="00325CE1">
        <w:rPr>
          <w:rFonts w:hint="eastAsia"/>
          <w:szCs w:val="21"/>
        </w:rPr>
        <w:t>或接受中低风险和低风险的金融产品或金融服务；</w:t>
      </w:r>
    </w:p>
    <w:p w:rsidR="00F22945" w:rsidRDefault="00010535">
      <w:pPr>
        <w:pStyle w:val="21"/>
        <w:numPr>
          <w:ilvl w:val="0"/>
          <w:numId w:val="1"/>
        </w:numPr>
        <w:spacing w:line="276" w:lineRule="auto"/>
        <w:ind w:left="0" w:firstLine="420"/>
        <w:rPr>
          <w:szCs w:val="21"/>
        </w:rPr>
      </w:pPr>
      <w:r>
        <w:rPr>
          <w:rFonts w:hint="eastAsia"/>
          <w:szCs w:val="21"/>
        </w:rPr>
        <w:t>安全型</w:t>
      </w:r>
      <w:r w:rsidR="00325CE1">
        <w:rPr>
          <w:rFonts w:hint="eastAsia"/>
          <w:szCs w:val="21"/>
        </w:rPr>
        <w:t>投资者</w:t>
      </w:r>
      <w:r w:rsidR="00325CE1">
        <w:rPr>
          <w:szCs w:val="21"/>
        </w:rPr>
        <w:t>可以购买</w:t>
      </w:r>
      <w:r w:rsidR="00325CE1">
        <w:rPr>
          <w:rFonts w:hint="eastAsia"/>
          <w:szCs w:val="21"/>
        </w:rPr>
        <w:t>或</w:t>
      </w:r>
      <w:r w:rsidR="00325CE1">
        <w:rPr>
          <w:szCs w:val="21"/>
        </w:rPr>
        <w:t>接受</w:t>
      </w:r>
      <w:r w:rsidR="00325CE1">
        <w:rPr>
          <w:rFonts w:hint="eastAsia"/>
          <w:szCs w:val="21"/>
        </w:rPr>
        <w:t>低风险的金融产品或金融服务；</w:t>
      </w:r>
    </w:p>
    <w:p w:rsidR="00F22945" w:rsidRDefault="00325CE1">
      <w:pPr>
        <w:pStyle w:val="21"/>
        <w:numPr>
          <w:ilvl w:val="0"/>
          <w:numId w:val="1"/>
        </w:numPr>
        <w:spacing w:line="276" w:lineRule="auto"/>
        <w:ind w:left="0" w:firstLine="420"/>
        <w:rPr>
          <w:szCs w:val="21"/>
        </w:rPr>
      </w:pPr>
      <w:r>
        <w:rPr>
          <w:szCs w:val="21"/>
        </w:rPr>
        <w:t>最低</w:t>
      </w:r>
      <w:proofErr w:type="gramStart"/>
      <w:r w:rsidR="00010535">
        <w:rPr>
          <w:rFonts w:hint="eastAsia"/>
          <w:szCs w:val="21"/>
        </w:rPr>
        <w:t>型风险</w:t>
      </w:r>
      <w:proofErr w:type="gramEnd"/>
      <w:r w:rsidR="00010535">
        <w:rPr>
          <w:szCs w:val="21"/>
        </w:rPr>
        <w:t>承受能力</w:t>
      </w:r>
      <w:r>
        <w:rPr>
          <w:szCs w:val="21"/>
        </w:rPr>
        <w:t>投资者可以购买</w:t>
      </w:r>
      <w:r>
        <w:rPr>
          <w:rFonts w:hint="eastAsia"/>
          <w:szCs w:val="21"/>
        </w:rPr>
        <w:t>或</w:t>
      </w:r>
      <w:r>
        <w:rPr>
          <w:szCs w:val="21"/>
        </w:rPr>
        <w:t>接受</w:t>
      </w:r>
      <w:r>
        <w:rPr>
          <w:rFonts w:hint="eastAsia"/>
          <w:szCs w:val="21"/>
        </w:rPr>
        <w:t>低风险的金融产品或金融服务。</w:t>
      </w:r>
    </w:p>
    <w:p w:rsidR="00F22945" w:rsidRDefault="00325CE1">
      <w:pPr>
        <w:spacing w:line="276" w:lineRule="auto"/>
        <w:ind w:firstLineChars="200" w:firstLine="422"/>
        <w:rPr>
          <w:b/>
          <w:szCs w:val="21"/>
        </w:rPr>
      </w:pPr>
      <w:r>
        <w:rPr>
          <w:rFonts w:hint="eastAsia"/>
          <w:b/>
          <w:szCs w:val="21"/>
        </w:rPr>
        <w:t>六、风险承受能力最低类别的投资者</w:t>
      </w:r>
    </w:p>
    <w:p w:rsidR="00F22945" w:rsidRDefault="00325CE1">
      <w:pPr>
        <w:pStyle w:val="a8"/>
        <w:spacing w:line="276" w:lineRule="auto"/>
        <w:ind w:right="122" w:firstLineChars="212" w:firstLine="445"/>
        <w:jc w:val="both"/>
        <w:rPr>
          <w:rFonts w:ascii="Calibri" w:hAnsi="Calibri" w:cs="Times New Roman"/>
          <w:kern w:val="2"/>
          <w:sz w:val="21"/>
          <w:szCs w:val="21"/>
          <w:lang w:eastAsia="zh-CN"/>
        </w:rPr>
      </w:pPr>
      <w:r>
        <w:rPr>
          <w:rFonts w:ascii="Calibri" w:hAnsi="Calibri" w:cs="Times New Roman" w:hint="eastAsia"/>
          <w:kern w:val="2"/>
          <w:sz w:val="21"/>
          <w:szCs w:val="21"/>
          <w:lang w:eastAsia="zh-CN"/>
        </w:rPr>
        <w:t>风险承受能力最低类别的投资者是指普通投资者中符合</w:t>
      </w:r>
      <w:r>
        <w:rPr>
          <w:rFonts w:ascii="Calibri" w:hAnsi="Calibri" w:cs="Times New Roman"/>
          <w:kern w:val="2"/>
          <w:sz w:val="21"/>
          <w:szCs w:val="21"/>
          <w:lang w:eastAsia="zh-CN"/>
        </w:rPr>
        <w:t>下列情形之一的</w:t>
      </w:r>
      <w:r>
        <w:rPr>
          <w:rFonts w:ascii="Calibri" w:hAnsi="Calibri" w:cs="Times New Roman" w:hint="eastAsia"/>
          <w:kern w:val="2"/>
          <w:sz w:val="21"/>
          <w:szCs w:val="21"/>
          <w:lang w:eastAsia="zh-CN"/>
        </w:rPr>
        <w:t>自然人：</w:t>
      </w:r>
    </w:p>
    <w:p w:rsidR="00F22945" w:rsidRDefault="00325CE1">
      <w:pPr>
        <w:spacing w:line="276" w:lineRule="auto"/>
        <w:ind w:left="567"/>
        <w:rPr>
          <w:szCs w:val="21"/>
        </w:rPr>
      </w:pPr>
      <w:r>
        <w:rPr>
          <w:rFonts w:hint="eastAsia"/>
          <w:szCs w:val="21"/>
        </w:rPr>
        <w:t>（一）不具有完全民事行为能力；</w:t>
      </w:r>
    </w:p>
    <w:p w:rsidR="00F22945" w:rsidRDefault="00325CE1">
      <w:pPr>
        <w:spacing w:line="276" w:lineRule="auto"/>
        <w:ind w:left="567"/>
        <w:rPr>
          <w:szCs w:val="21"/>
        </w:rPr>
      </w:pPr>
      <w:r>
        <w:rPr>
          <w:rFonts w:hint="eastAsia"/>
          <w:szCs w:val="21"/>
        </w:rPr>
        <w:t>（二）没有风险容忍</w:t>
      </w:r>
      <w:proofErr w:type="gramStart"/>
      <w:r>
        <w:rPr>
          <w:rFonts w:hint="eastAsia"/>
          <w:szCs w:val="21"/>
        </w:rPr>
        <w:t>度或者</w:t>
      </w:r>
      <w:proofErr w:type="gramEnd"/>
      <w:r>
        <w:rPr>
          <w:rFonts w:hint="eastAsia"/>
          <w:szCs w:val="21"/>
        </w:rPr>
        <w:t>不愿承受任何投资损失；</w:t>
      </w:r>
    </w:p>
    <w:p w:rsidR="00F22945" w:rsidRPr="00D6453A" w:rsidRDefault="00325CE1" w:rsidP="00D6453A">
      <w:pPr>
        <w:spacing w:line="276" w:lineRule="auto"/>
        <w:ind w:left="567"/>
        <w:rPr>
          <w:szCs w:val="21"/>
        </w:rPr>
      </w:pPr>
      <w:r>
        <w:rPr>
          <w:rFonts w:hint="eastAsia"/>
          <w:szCs w:val="21"/>
        </w:rPr>
        <w:t>（三）法律、行政法规规定的其他情形。</w:t>
      </w:r>
    </w:p>
    <w:p w:rsidR="00F22945" w:rsidRDefault="0048351D">
      <w:pPr>
        <w:spacing w:line="276" w:lineRule="auto"/>
        <w:ind w:firstLineChars="200" w:firstLine="422"/>
        <w:rPr>
          <w:b/>
          <w:szCs w:val="21"/>
        </w:rPr>
      </w:pPr>
      <w:r>
        <w:rPr>
          <w:rFonts w:hint="eastAsia"/>
          <w:b/>
          <w:szCs w:val="21"/>
        </w:rPr>
        <w:t>七</w:t>
      </w:r>
      <w:r w:rsidR="00325CE1">
        <w:rPr>
          <w:rFonts w:hint="eastAsia"/>
          <w:b/>
          <w:szCs w:val="21"/>
        </w:rPr>
        <w:t>、服务内容和收费方式</w:t>
      </w:r>
    </w:p>
    <w:p w:rsidR="00F22945" w:rsidRDefault="00325CE1">
      <w:pPr>
        <w:spacing w:line="276" w:lineRule="auto"/>
        <w:ind w:firstLineChars="200" w:firstLine="420"/>
        <w:rPr>
          <w:szCs w:val="21"/>
        </w:rPr>
      </w:pPr>
      <w:r>
        <w:rPr>
          <w:rFonts w:hint="eastAsia"/>
          <w:szCs w:val="21"/>
        </w:rPr>
        <w:t>我公司向投资人提供以下服务：</w:t>
      </w:r>
    </w:p>
    <w:p w:rsidR="00F22945" w:rsidRDefault="00325CE1">
      <w:pPr>
        <w:spacing w:line="276" w:lineRule="auto"/>
        <w:ind w:firstLineChars="200" w:firstLine="420"/>
        <w:rPr>
          <w:szCs w:val="21"/>
        </w:rPr>
      </w:pPr>
      <w:r>
        <w:rPr>
          <w:rFonts w:hint="eastAsia"/>
          <w:szCs w:val="21"/>
        </w:rPr>
        <w:t>（一）对投资人的风险承受能力进行调查和评价。</w:t>
      </w:r>
    </w:p>
    <w:p w:rsidR="00F22945" w:rsidRDefault="00325CE1">
      <w:pPr>
        <w:spacing w:line="276" w:lineRule="auto"/>
        <w:ind w:firstLineChars="200" w:firstLine="420"/>
        <w:rPr>
          <w:szCs w:val="21"/>
        </w:rPr>
      </w:pPr>
      <w:r>
        <w:rPr>
          <w:rFonts w:hint="eastAsia"/>
          <w:szCs w:val="21"/>
        </w:rPr>
        <w:lastRenderedPageBreak/>
        <w:t>（二）基金销售业务，包括基金（资金）账户开户、基金申（认）购、基金赎回、基金转换、定额定投、修改基金分红方式等。我公司根据每只基金的发行公告及基金管理公司发布的其它相关公告收取相应的申（认）购、赎回费和转换费。</w:t>
      </w:r>
    </w:p>
    <w:p w:rsidR="00F22945" w:rsidRDefault="00325CE1">
      <w:pPr>
        <w:spacing w:line="276" w:lineRule="auto"/>
        <w:ind w:firstLineChars="200" w:firstLine="420"/>
        <w:rPr>
          <w:szCs w:val="21"/>
        </w:rPr>
      </w:pPr>
      <w:r>
        <w:rPr>
          <w:rFonts w:hint="eastAsia"/>
          <w:szCs w:val="21"/>
        </w:rPr>
        <w:t>（三）基金网上交易服务。</w:t>
      </w:r>
    </w:p>
    <w:p w:rsidR="00F22945" w:rsidRDefault="00325CE1">
      <w:pPr>
        <w:spacing w:line="276" w:lineRule="auto"/>
        <w:ind w:firstLineChars="200" w:firstLine="420"/>
        <w:rPr>
          <w:szCs w:val="21"/>
        </w:rPr>
      </w:pPr>
      <w:r>
        <w:rPr>
          <w:rFonts w:hint="eastAsia"/>
          <w:szCs w:val="21"/>
        </w:rPr>
        <w:t>（四）基金投资咨询服务。</w:t>
      </w:r>
    </w:p>
    <w:p w:rsidR="00F22945" w:rsidRDefault="00325CE1">
      <w:pPr>
        <w:spacing w:line="276" w:lineRule="auto"/>
        <w:ind w:firstLineChars="200" w:firstLine="420"/>
        <w:rPr>
          <w:szCs w:val="21"/>
        </w:rPr>
      </w:pPr>
      <w:r>
        <w:rPr>
          <w:rFonts w:hint="eastAsia"/>
          <w:szCs w:val="21"/>
        </w:rPr>
        <w:t>（五）基金净值、分红提示、交易确认等短信服务。</w:t>
      </w:r>
    </w:p>
    <w:p w:rsidR="00F22945" w:rsidRDefault="00325CE1">
      <w:pPr>
        <w:spacing w:line="276" w:lineRule="auto"/>
        <w:ind w:firstLineChars="200" w:firstLine="420"/>
        <w:rPr>
          <w:szCs w:val="21"/>
        </w:rPr>
      </w:pPr>
      <w:r>
        <w:rPr>
          <w:rFonts w:hint="eastAsia"/>
          <w:szCs w:val="21"/>
        </w:rPr>
        <w:t>（六）电话咨询、</w:t>
      </w:r>
      <w:r w:rsidR="00FF11DD">
        <w:rPr>
          <w:rFonts w:hint="eastAsia"/>
          <w:szCs w:val="21"/>
        </w:rPr>
        <w:t>手机</w:t>
      </w:r>
      <w:r w:rsidR="00FF11DD">
        <w:rPr>
          <w:szCs w:val="21"/>
        </w:rPr>
        <w:t>自助交易</w:t>
      </w:r>
      <w:r>
        <w:rPr>
          <w:rFonts w:hint="eastAsia"/>
          <w:szCs w:val="21"/>
        </w:rPr>
        <w:t>服务。</w:t>
      </w:r>
    </w:p>
    <w:p w:rsidR="00F22945" w:rsidRDefault="00325CE1">
      <w:pPr>
        <w:spacing w:line="276" w:lineRule="auto"/>
        <w:ind w:firstLineChars="200" w:firstLine="420"/>
        <w:rPr>
          <w:szCs w:val="21"/>
        </w:rPr>
      </w:pPr>
      <w:r>
        <w:rPr>
          <w:rFonts w:hint="eastAsia"/>
          <w:szCs w:val="21"/>
        </w:rPr>
        <w:t>（七）基金知识普及和风险教育。</w:t>
      </w:r>
    </w:p>
    <w:p w:rsidR="00F22945" w:rsidRDefault="00325CE1">
      <w:pPr>
        <w:spacing w:line="276" w:lineRule="auto"/>
        <w:ind w:firstLineChars="200" w:firstLine="420"/>
        <w:rPr>
          <w:szCs w:val="21"/>
        </w:rPr>
      </w:pPr>
      <w:r>
        <w:rPr>
          <w:rFonts w:hint="eastAsia"/>
          <w:szCs w:val="21"/>
        </w:rPr>
        <w:t>（以上服务内容均为免费）</w:t>
      </w:r>
    </w:p>
    <w:p w:rsidR="00F22945" w:rsidRDefault="0048351D">
      <w:pPr>
        <w:spacing w:line="276" w:lineRule="auto"/>
        <w:ind w:firstLineChars="200" w:firstLine="422"/>
        <w:rPr>
          <w:b/>
          <w:szCs w:val="21"/>
        </w:rPr>
      </w:pPr>
      <w:r>
        <w:rPr>
          <w:rFonts w:hint="eastAsia"/>
          <w:b/>
          <w:szCs w:val="21"/>
        </w:rPr>
        <w:t>八</w:t>
      </w:r>
      <w:r w:rsidR="00325CE1">
        <w:rPr>
          <w:rFonts w:hint="eastAsia"/>
          <w:b/>
          <w:szCs w:val="21"/>
        </w:rPr>
        <w:t>、基金交易业务流程（具体</w:t>
      </w:r>
      <w:r w:rsidR="00325CE1">
        <w:rPr>
          <w:b/>
          <w:szCs w:val="21"/>
        </w:rPr>
        <w:t>的业务流程以直销柜台的操作指引为准）</w:t>
      </w:r>
    </w:p>
    <w:p w:rsidR="00F22945" w:rsidRDefault="00325CE1">
      <w:pPr>
        <w:tabs>
          <w:tab w:val="left" w:pos="993"/>
        </w:tabs>
        <w:spacing w:line="276" w:lineRule="auto"/>
        <w:ind w:firstLineChars="200" w:firstLine="420"/>
        <w:rPr>
          <w:rFonts w:ascii="宋体" w:hAnsi="宋体"/>
          <w:szCs w:val="21"/>
        </w:rPr>
      </w:pPr>
      <w:bookmarkStart w:id="2" w:name="_Toc192410887"/>
      <w:r>
        <w:rPr>
          <w:rFonts w:ascii="宋体" w:hAnsi="宋体" w:hint="eastAsia"/>
          <w:szCs w:val="21"/>
        </w:rPr>
        <w:t>（一</w:t>
      </w:r>
      <w:r>
        <w:rPr>
          <w:rFonts w:ascii="宋体" w:hAnsi="宋体"/>
          <w:szCs w:val="21"/>
        </w:rPr>
        <w:t>）</w:t>
      </w:r>
      <w:r>
        <w:rPr>
          <w:rFonts w:ascii="宋体" w:hAnsi="宋体" w:hint="eastAsia"/>
          <w:szCs w:val="21"/>
        </w:rPr>
        <w:t>直销柜台开户和增开直销交易账户</w:t>
      </w:r>
    </w:p>
    <w:p w:rsidR="00F22945" w:rsidRDefault="00325CE1">
      <w:pPr>
        <w:tabs>
          <w:tab w:val="left" w:pos="851"/>
          <w:tab w:val="left" w:pos="993"/>
        </w:tabs>
        <w:spacing w:line="276" w:lineRule="auto"/>
        <w:ind w:firstLineChars="202" w:firstLine="424"/>
        <w:jc w:val="left"/>
        <w:rPr>
          <w:rFonts w:ascii="宋体" w:hAnsi="宋体"/>
          <w:szCs w:val="21"/>
        </w:rPr>
      </w:pPr>
      <w:r>
        <w:rPr>
          <w:rFonts w:ascii="宋体" w:hAnsi="宋体"/>
          <w:szCs w:val="21"/>
        </w:rPr>
        <w:t>A.</w:t>
      </w:r>
      <w:r>
        <w:rPr>
          <w:rFonts w:ascii="宋体" w:hAnsi="宋体" w:hint="eastAsia"/>
          <w:szCs w:val="21"/>
        </w:rPr>
        <w:t>个人投资者开户</w:t>
      </w:r>
      <w:bookmarkEnd w:id="2"/>
      <w:r>
        <w:rPr>
          <w:rFonts w:ascii="宋体" w:hAnsi="宋体" w:hint="eastAsia"/>
          <w:szCs w:val="21"/>
        </w:rPr>
        <w:t>或增开直销交易账户，</w:t>
      </w:r>
      <w:bookmarkStart w:id="3" w:name="OLE_LINK6"/>
      <w:bookmarkStart w:id="4" w:name="OLE_LINK5"/>
      <w:r>
        <w:rPr>
          <w:rFonts w:ascii="宋体" w:hAnsi="宋体" w:hint="eastAsia"/>
          <w:szCs w:val="21"/>
        </w:rPr>
        <w:t>包括投资者本人、委托他人代办、未成年人监护人代办等类型。</w:t>
      </w:r>
    </w:p>
    <w:bookmarkEnd w:id="3"/>
    <w:bookmarkEnd w:id="4"/>
    <w:p w:rsidR="00F22945" w:rsidRDefault="00325CE1">
      <w:pPr>
        <w:numPr>
          <w:ilvl w:val="0"/>
          <w:numId w:val="2"/>
        </w:numPr>
        <w:spacing w:line="276" w:lineRule="auto"/>
        <w:ind w:left="0" w:firstLine="567"/>
        <w:rPr>
          <w:rFonts w:ascii="宋体" w:hAnsi="宋体" w:cs="宋体"/>
          <w:kern w:val="0"/>
          <w:szCs w:val="21"/>
        </w:rPr>
      </w:pPr>
      <w:r>
        <w:rPr>
          <w:rFonts w:ascii="宋体" w:hAnsi="宋体" w:cs="宋体" w:hint="eastAsia"/>
          <w:kern w:val="0"/>
          <w:szCs w:val="21"/>
        </w:rPr>
        <w:t>投资者类型判定</w:t>
      </w:r>
    </w:p>
    <w:p w:rsidR="00F22945" w:rsidRDefault="00325CE1">
      <w:pPr>
        <w:spacing w:line="276" w:lineRule="auto"/>
        <w:ind w:firstLine="567"/>
        <w:rPr>
          <w:rFonts w:ascii="宋体" w:hAnsi="宋体" w:cs="宋体"/>
          <w:kern w:val="0"/>
          <w:szCs w:val="21"/>
        </w:rPr>
      </w:pPr>
      <w:r>
        <w:rPr>
          <w:rFonts w:ascii="宋体" w:hAnsi="宋体" w:cs="宋体" w:hint="eastAsia"/>
          <w:kern w:val="0"/>
          <w:szCs w:val="21"/>
        </w:rPr>
        <w:t>同时符合下列条件的自然人是专业投资者：</w:t>
      </w:r>
    </w:p>
    <w:p w:rsidR="00F22945" w:rsidRDefault="00325CE1">
      <w:pPr>
        <w:spacing w:line="276" w:lineRule="auto"/>
        <w:ind w:firstLine="567"/>
        <w:rPr>
          <w:rFonts w:ascii="宋体" w:hAnsi="宋体" w:cs="宋体"/>
          <w:kern w:val="0"/>
          <w:szCs w:val="21"/>
        </w:rPr>
      </w:pPr>
      <w:r>
        <w:rPr>
          <w:rFonts w:ascii="宋体" w:hAnsi="宋体" w:cs="宋体" w:hint="eastAsia"/>
          <w:kern w:val="0"/>
          <w:szCs w:val="21"/>
        </w:rPr>
        <w:t>（</w:t>
      </w:r>
      <w:r>
        <w:rPr>
          <w:rFonts w:ascii="宋体" w:hAnsi="宋体" w:cs="宋体"/>
          <w:kern w:val="0"/>
          <w:szCs w:val="21"/>
        </w:rPr>
        <w:t>1）金融资产不低于500万元，或者最近3年个人年均收入不低于50万元；</w:t>
      </w:r>
    </w:p>
    <w:p w:rsidR="00F22945" w:rsidRDefault="00325CE1">
      <w:pPr>
        <w:spacing w:line="276" w:lineRule="auto"/>
        <w:ind w:firstLine="567"/>
        <w:rPr>
          <w:rFonts w:ascii="宋体" w:hAnsi="宋体" w:cs="宋体"/>
          <w:kern w:val="0"/>
          <w:szCs w:val="21"/>
        </w:rPr>
      </w:pPr>
      <w:r>
        <w:rPr>
          <w:rFonts w:ascii="宋体" w:hAnsi="宋体" w:cs="宋体" w:hint="eastAsia"/>
          <w:kern w:val="0"/>
          <w:szCs w:val="21"/>
        </w:rPr>
        <w:t>（</w:t>
      </w:r>
      <w:r>
        <w:rPr>
          <w:rFonts w:ascii="宋体" w:hAnsi="宋体" w:cs="宋体"/>
          <w:kern w:val="0"/>
          <w:szCs w:val="21"/>
        </w:rPr>
        <w:t>2）具有2年以上证券、基金、期货、黄金、外汇等投资经历，或者具有2年以上金融产品设计、投资、风险管理及相关工作经历，</w:t>
      </w:r>
      <w:r>
        <w:rPr>
          <w:rFonts w:ascii="宋体" w:hAnsi="宋体" w:cs="宋体" w:hint="eastAsia"/>
          <w:kern w:val="0"/>
          <w:szCs w:val="21"/>
        </w:rPr>
        <w:t>或者</w:t>
      </w:r>
      <w:r>
        <w:rPr>
          <w:rFonts w:ascii="宋体" w:hAnsi="宋体" w:cs="宋体"/>
          <w:kern w:val="0"/>
          <w:szCs w:val="21"/>
        </w:rPr>
        <w:t>属于</w:t>
      </w:r>
      <w:r>
        <w:rPr>
          <w:rFonts w:ascii="宋体" w:hAnsi="宋体" w:cs="宋体" w:hint="eastAsia"/>
          <w:kern w:val="0"/>
          <w:szCs w:val="21"/>
        </w:rPr>
        <w:t>经有关金融监管部门批准设立的金融机构（包括证券公司、期货公司、基金管理公司及其子公司、商业银行、保险公司、信托公司、财务公司等；经行业协会备案或者登记的证券公司子公司、期货公司子公司、私募基金管理人）的高级管理人员、获得职业资格认证的从事金融相关业务的注册会计师和律师。</w:t>
      </w:r>
    </w:p>
    <w:p w:rsidR="00F22945" w:rsidRDefault="00325CE1">
      <w:pPr>
        <w:spacing w:line="276" w:lineRule="auto"/>
        <w:ind w:firstLine="567"/>
        <w:rPr>
          <w:rFonts w:ascii="宋体" w:hAnsi="宋体" w:cs="宋体"/>
          <w:kern w:val="0"/>
          <w:szCs w:val="21"/>
        </w:rPr>
      </w:pPr>
      <w:r>
        <w:rPr>
          <w:rFonts w:ascii="宋体" w:hAnsi="宋体" w:cs="宋体" w:hint="eastAsia"/>
          <w:kern w:val="0"/>
          <w:szCs w:val="21"/>
        </w:rPr>
        <w:t>前款所称金融资产，是指银行存款、股票、债券、基金份额、资产管理计划、银行理财产品、信托计划、保险产品、期货及其他衍生产品等。</w:t>
      </w:r>
    </w:p>
    <w:p w:rsidR="00F22945" w:rsidRDefault="00325CE1">
      <w:pPr>
        <w:tabs>
          <w:tab w:val="left" w:pos="993"/>
        </w:tabs>
        <w:spacing w:line="276" w:lineRule="auto"/>
        <w:ind w:rightChars="-7" w:right="-15" w:firstLineChars="236" w:firstLine="496"/>
        <w:rPr>
          <w:rFonts w:ascii="宋体" w:hAnsi="宋体"/>
          <w:szCs w:val="21"/>
        </w:rPr>
      </w:pPr>
      <w:r>
        <w:rPr>
          <w:rFonts w:ascii="宋体" w:hAnsi="宋体" w:cs="宋体"/>
          <w:kern w:val="0"/>
          <w:szCs w:val="21"/>
        </w:rPr>
        <w:t>2.</w:t>
      </w:r>
      <w:r>
        <w:rPr>
          <w:rFonts w:ascii="宋体" w:hAnsi="宋体" w:cs="宋体" w:hint="eastAsia"/>
          <w:kern w:val="0"/>
          <w:szCs w:val="21"/>
        </w:rPr>
        <w:t>专业投资者之外的投资者为普通投资者。符合本条第（</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）项规定的专业投资者，可以书面告知本公司选择成为普通投资者，本公司应当对其履行相应的适当性义务。</w:t>
      </w:r>
    </w:p>
    <w:p w:rsidR="00F22945" w:rsidRDefault="00325CE1">
      <w:pPr>
        <w:tabs>
          <w:tab w:val="left" w:pos="993"/>
        </w:tabs>
        <w:spacing w:line="276" w:lineRule="auto"/>
        <w:ind w:rightChars="-7" w:right="-15" w:firstLineChars="236" w:firstLine="496"/>
        <w:rPr>
          <w:rFonts w:ascii="宋体" w:hAnsi="宋体"/>
          <w:szCs w:val="21"/>
        </w:rPr>
      </w:pPr>
      <w:r>
        <w:rPr>
          <w:rFonts w:ascii="宋体" w:hAnsi="宋体"/>
          <w:szCs w:val="21"/>
        </w:rPr>
        <w:t>3.符合下列条件的普通投资者可以申请转化成为专业投资者，但本公司有权自主决定是否同意其转化：</w:t>
      </w:r>
    </w:p>
    <w:p w:rsidR="00F22945" w:rsidRDefault="00325CE1">
      <w:pPr>
        <w:spacing w:line="276" w:lineRule="auto"/>
        <w:ind w:firstLineChars="236" w:firstLine="496"/>
        <w:rPr>
          <w:rFonts w:ascii="宋体" w:hAnsi="宋体"/>
          <w:szCs w:val="21"/>
        </w:rPr>
      </w:pPr>
      <w:r>
        <w:rPr>
          <w:rFonts w:ascii="宋体" w:hAnsi="宋体" w:hint="eastAsia"/>
          <w:szCs w:val="21"/>
        </w:rPr>
        <w:t>金融资产不低于</w:t>
      </w:r>
      <w:r>
        <w:rPr>
          <w:rFonts w:ascii="宋体" w:hAnsi="宋体"/>
          <w:szCs w:val="21"/>
        </w:rPr>
        <w:t>300万元或者最近3年个人年均收入不低于30万元，且具有1年以上证券、基金、期货、黄金、外汇等投资经历或者1年以上金融产品设计、投资、风险管理及相关工作经历的自然人投资者。</w:t>
      </w:r>
    </w:p>
    <w:p w:rsidR="00F22945" w:rsidRDefault="00325CE1">
      <w:pPr>
        <w:spacing w:line="276" w:lineRule="auto"/>
        <w:ind w:left="426" w:firstLineChars="58" w:firstLine="122"/>
        <w:rPr>
          <w:rFonts w:ascii="宋体" w:hAnsi="宋体" w:cs="宋体"/>
          <w:kern w:val="0"/>
          <w:szCs w:val="21"/>
        </w:rPr>
      </w:pPr>
      <w:r>
        <w:rPr>
          <w:rFonts w:ascii="宋体" w:hAnsi="宋体" w:cs="宋体"/>
          <w:kern w:val="0"/>
          <w:szCs w:val="21"/>
        </w:rPr>
        <w:t>4.</w:t>
      </w:r>
      <w:r>
        <w:rPr>
          <w:rFonts w:ascii="宋体" w:hAnsi="宋体" w:cs="宋体" w:hint="eastAsia"/>
          <w:kern w:val="0"/>
          <w:szCs w:val="21"/>
        </w:rPr>
        <w:t>投资者本人临柜须提供的材料：</w:t>
      </w:r>
    </w:p>
    <w:p w:rsidR="00F22945" w:rsidRDefault="00325CE1">
      <w:pPr>
        <w:numPr>
          <w:ilvl w:val="0"/>
          <w:numId w:val="3"/>
        </w:numPr>
        <w:tabs>
          <w:tab w:val="left" w:pos="993"/>
        </w:tabs>
        <w:spacing w:line="276" w:lineRule="auto"/>
        <w:ind w:rightChars="-7" w:right="-15" w:firstLine="6"/>
        <w:rPr>
          <w:rFonts w:ascii="宋体" w:hAnsi="宋体"/>
          <w:szCs w:val="21"/>
        </w:rPr>
      </w:pPr>
      <w:r>
        <w:rPr>
          <w:rFonts w:ascii="宋体" w:hAnsi="宋体" w:hint="eastAsia"/>
          <w:szCs w:val="21"/>
        </w:rPr>
        <w:t>填妥的经申请人签字确认的《账户业务申请表</w:t>
      </w:r>
      <w:r>
        <w:rPr>
          <w:rFonts w:ascii="宋体" w:hAnsi="宋体"/>
          <w:szCs w:val="21"/>
        </w:rPr>
        <w:t>(个人)》；</w:t>
      </w:r>
    </w:p>
    <w:p w:rsidR="00F22945" w:rsidRDefault="00325CE1">
      <w:pPr>
        <w:numPr>
          <w:ilvl w:val="0"/>
          <w:numId w:val="3"/>
        </w:numPr>
        <w:tabs>
          <w:tab w:val="left" w:pos="993"/>
        </w:tabs>
        <w:spacing w:line="276" w:lineRule="auto"/>
        <w:ind w:rightChars="-7" w:right="-15" w:firstLine="6"/>
        <w:rPr>
          <w:rFonts w:ascii="宋体" w:hAnsi="宋体"/>
          <w:szCs w:val="21"/>
        </w:rPr>
      </w:pPr>
      <w:r>
        <w:rPr>
          <w:rFonts w:ascii="宋体" w:hAnsi="宋体" w:hint="eastAsia"/>
          <w:szCs w:val="21"/>
        </w:rPr>
        <w:t>申请人有效身份证件原件及复印件；</w:t>
      </w:r>
    </w:p>
    <w:p w:rsidR="00F22945" w:rsidRDefault="00325CE1">
      <w:pPr>
        <w:numPr>
          <w:ilvl w:val="0"/>
          <w:numId w:val="3"/>
        </w:numPr>
        <w:tabs>
          <w:tab w:val="left" w:pos="993"/>
        </w:tabs>
        <w:spacing w:line="276" w:lineRule="auto"/>
        <w:ind w:rightChars="-7" w:right="-15" w:firstLine="6"/>
        <w:rPr>
          <w:rFonts w:ascii="宋体" w:hAnsi="宋体"/>
          <w:szCs w:val="21"/>
        </w:rPr>
      </w:pPr>
      <w:r>
        <w:rPr>
          <w:rFonts w:ascii="宋体" w:hAnsi="宋体" w:hint="eastAsia"/>
          <w:szCs w:val="21"/>
        </w:rPr>
        <w:t>申请人预留的银行储蓄存折（卡）原件及复印件；</w:t>
      </w: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t>填妥的《投资者类型评定及风险能力测评问卷》和《投资人权益须知》（增开交易账号除外，下同）；</w:t>
      </w: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t>《传真</w:t>
      </w:r>
      <w:r>
        <w:rPr>
          <w:rFonts w:ascii="宋体" w:hAnsi="宋体"/>
          <w:szCs w:val="21"/>
        </w:rPr>
        <w:t>交易协议书</w:t>
      </w:r>
      <w:r>
        <w:rPr>
          <w:rFonts w:ascii="宋体" w:hAnsi="宋体" w:hint="eastAsia"/>
          <w:szCs w:val="21"/>
        </w:rPr>
        <w:t>》（如需</w:t>
      </w:r>
      <w:r>
        <w:rPr>
          <w:rFonts w:ascii="宋体" w:hAnsi="宋体"/>
          <w:szCs w:val="21"/>
        </w:rPr>
        <w:t>开通传真交易）</w:t>
      </w:r>
      <w:r>
        <w:rPr>
          <w:rFonts w:ascii="宋体" w:hAnsi="宋体" w:hint="eastAsia"/>
          <w:szCs w:val="21"/>
        </w:rPr>
        <w:t>；</w:t>
      </w: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t>《先锋</w:t>
      </w:r>
      <w:r>
        <w:rPr>
          <w:rFonts w:ascii="宋体" w:hAnsi="宋体"/>
          <w:szCs w:val="21"/>
        </w:rPr>
        <w:t>基金管理有限公司网上交易服务协议》</w:t>
      </w:r>
      <w:r>
        <w:rPr>
          <w:rFonts w:ascii="宋体" w:hAnsi="宋体" w:hint="eastAsia"/>
          <w:szCs w:val="21"/>
        </w:rPr>
        <w:t>（如需</w:t>
      </w:r>
      <w:r>
        <w:rPr>
          <w:rFonts w:ascii="宋体" w:hAnsi="宋体"/>
          <w:szCs w:val="21"/>
        </w:rPr>
        <w:t>开通</w:t>
      </w:r>
      <w:r>
        <w:rPr>
          <w:rFonts w:ascii="宋体" w:hAnsi="宋体" w:hint="eastAsia"/>
          <w:szCs w:val="21"/>
        </w:rPr>
        <w:t>网上</w:t>
      </w:r>
      <w:r>
        <w:rPr>
          <w:rFonts w:ascii="宋体" w:hAnsi="宋体"/>
          <w:szCs w:val="21"/>
        </w:rPr>
        <w:t>交易）</w:t>
      </w:r>
      <w:r>
        <w:rPr>
          <w:rFonts w:ascii="宋体" w:hAnsi="宋体" w:hint="eastAsia"/>
          <w:szCs w:val="21"/>
        </w:rPr>
        <w:t>；</w:t>
      </w:r>
    </w:p>
    <w:p w:rsidR="00F22945" w:rsidRDefault="00F22945" w:rsidP="00754935">
      <w:pPr>
        <w:tabs>
          <w:tab w:val="left" w:pos="993"/>
        </w:tabs>
        <w:spacing w:line="276" w:lineRule="auto"/>
        <w:ind w:rightChars="-7" w:right="-15"/>
        <w:rPr>
          <w:rFonts w:ascii="宋体" w:hAnsi="宋体" w:hint="eastAsia"/>
          <w:szCs w:val="21"/>
        </w:rPr>
      </w:pP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lastRenderedPageBreak/>
        <w:t>深圳</w:t>
      </w:r>
      <w:r>
        <w:rPr>
          <w:rFonts w:ascii="宋体" w:hAnsi="宋体"/>
          <w:szCs w:val="21"/>
        </w:rPr>
        <w:t>/上海证券账户的</w:t>
      </w:r>
      <w:r>
        <w:rPr>
          <w:rFonts w:ascii="宋体" w:hAnsi="宋体" w:hint="eastAsia"/>
          <w:szCs w:val="21"/>
        </w:rPr>
        <w:t>证明材料原件或复印件（若有）（开立深圳</w:t>
      </w:r>
      <w:r>
        <w:rPr>
          <w:rFonts w:ascii="宋体" w:hAnsi="宋体"/>
          <w:szCs w:val="21"/>
        </w:rPr>
        <w:t>/上海开放式基金账户</w:t>
      </w:r>
      <w:r>
        <w:rPr>
          <w:rFonts w:ascii="宋体" w:hAnsi="宋体" w:hint="eastAsia"/>
          <w:szCs w:val="21"/>
        </w:rPr>
        <w:t>）；</w:t>
      </w: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t>金融</w:t>
      </w:r>
      <w:r>
        <w:rPr>
          <w:rFonts w:ascii="宋体" w:hAnsi="宋体"/>
          <w:szCs w:val="21"/>
        </w:rPr>
        <w:t>资产证明</w:t>
      </w:r>
      <w:r>
        <w:rPr>
          <w:rFonts w:ascii="宋体" w:hAnsi="宋体" w:hint="eastAsia"/>
          <w:szCs w:val="21"/>
        </w:rPr>
        <w:t>及近</w:t>
      </w:r>
      <w:r>
        <w:rPr>
          <w:rFonts w:ascii="宋体" w:hAnsi="宋体"/>
          <w:szCs w:val="21"/>
        </w:rPr>
        <w:t>3</w:t>
      </w:r>
      <w:r>
        <w:rPr>
          <w:rFonts w:ascii="宋体" w:hAnsi="宋体" w:hint="eastAsia"/>
          <w:szCs w:val="21"/>
        </w:rPr>
        <w:t>年个人</w:t>
      </w:r>
      <w:r>
        <w:rPr>
          <w:rFonts w:ascii="宋体" w:hAnsi="宋体"/>
          <w:szCs w:val="21"/>
        </w:rPr>
        <w:t>收入证明(如未提供</w:t>
      </w:r>
      <w:r>
        <w:rPr>
          <w:rFonts w:ascii="宋体" w:hAnsi="宋体" w:hint="eastAsia"/>
          <w:szCs w:val="21"/>
        </w:rPr>
        <w:t>，</w:t>
      </w:r>
      <w:r>
        <w:rPr>
          <w:rFonts w:ascii="宋体" w:hAnsi="宋体"/>
          <w:szCs w:val="21"/>
        </w:rPr>
        <w:t>默认</w:t>
      </w:r>
      <w:r>
        <w:rPr>
          <w:rFonts w:ascii="宋体" w:hAnsi="宋体" w:hint="eastAsia"/>
          <w:szCs w:val="21"/>
        </w:rPr>
        <w:t>为</w:t>
      </w:r>
      <w:r>
        <w:rPr>
          <w:rFonts w:ascii="宋体" w:hAnsi="宋体"/>
          <w:szCs w:val="21"/>
        </w:rPr>
        <w:t>普通投资者)；</w:t>
      </w: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t>投资经历或投资相关</w:t>
      </w:r>
      <w:r>
        <w:rPr>
          <w:rFonts w:ascii="宋体" w:hAnsi="宋体"/>
          <w:szCs w:val="21"/>
        </w:rPr>
        <w:t>工作经验</w:t>
      </w:r>
      <w:r>
        <w:rPr>
          <w:rFonts w:ascii="宋体" w:hAnsi="宋体" w:hint="eastAsia"/>
          <w:szCs w:val="21"/>
        </w:rPr>
        <w:t>的证明</w:t>
      </w:r>
      <w:r>
        <w:rPr>
          <w:rFonts w:ascii="宋体" w:hAnsi="宋体"/>
          <w:szCs w:val="21"/>
        </w:rPr>
        <w:t>文件</w:t>
      </w:r>
      <w:r>
        <w:rPr>
          <w:rFonts w:ascii="宋体" w:hAnsi="宋体" w:hint="eastAsia"/>
          <w:szCs w:val="21"/>
        </w:rPr>
        <w:t>或职业资格证书等</w:t>
      </w:r>
      <w:r>
        <w:rPr>
          <w:rFonts w:ascii="宋体" w:hAnsi="宋体"/>
          <w:szCs w:val="21"/>
        </w:rPr>
        <w:t>(如未提供</w:t>
      </w:r>
      <w:r>
        <w:rPr>
          <w:rFonts w:ascii="宋体" w:hAnsi="宋体" w:hint="eastAsia"/>
          <w:szCs w:val="21"/>
        </w:rPr>
        <w:t>，</w:t>
      </w:r>
      <w:r>
        <w:rPr>
          <w:rFonts w:ascii="宋体" w:hAnsi="宋体"/>
          <w:szCs w:val="21"/>
        </w:rPr>
        <w:t>默认</w:t>
      </w:r>
      <w:r>
        <w:rPr>
          <w:rFonts w:ascii="宋体" w:hAnsi="宋体" w:hint="eastAsia"/>
          <w:szCs w:val="21"/>
        </w:rPr>
        <w:t>为</w:t>
      </w:r>
      <w:r>
        <w:rPr>
          <w:rFonts w:ascii="宋体" w:hAnsi="宋体"/>
          <w:szCs w:val="21"/>
        </w:rPr>
        <w:t>普通投资者)；</w:t>
      </w: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t>诚信</w:t>
      </w:r>
      <w:r>
        <w:rPr>
          <w:rFonts w:ascii="宋体" w:hAnsi="宋体"/>
          <w:szCs w:val="21"/>
        </w:rPr>
        <w:t>记录证明材料</w:t>
      </w:r>
      <w:r>
        <w:rPr>
          <w:rFonts w:ascii="宋体" w:hAnsi="宋体" w:hint="eastAsia"/>
          <w:szCs w:val="21"/>
        </w:rPr>
        <w:t>；</w:t>
      </w:r>
    </w:p>
    <w:p w:rsidR="00F22945" w:rsidRDefault="00325CE1">
      <w:pPr>
        <w:numPr>
          <w:ilvl w:val="0"/>
          <w:numId w:val="3"/>
        </w:numPr>
        <w:tabs>
          <w:tab w:val="left" w:pos="993"/>
        </w:tabs>
        <w:spacing w:line="276" w:lineRule="auto"/>
        <w:ind w:left="0" w:rightChars="-7" w:right="-15" w:firstLine="426"/>
        <w:rPr>
          <w:rFonts w:ascii="宋体" w:hAnsi="宋体"/>
          <w:szCs w:val="21"/>
        </w:rPr>
      </w:pPr>
      <w:r>
        <w:rPr>
          <w:rFonts w:ascii="宋体" w:hAnsi="宋体" w:hint="eastAsia"/>
          <w:szCs w:val="21"/>
        </w:rPr>
        <w:t>税收</w:t>
      </w:r>
      <w:r>
        <w:rPr>
          <w:rFonts w:ascii="宋体" w:hAnsi="宋体"/>
          <w:szCs w:val="21"/>
        </w:rPr>
        <w:t>居民身份</w:t>
      </w:r>
      <w:r>
        <w:rPr>
          <w:rFonts w:ascii="宋体" w:hAnsi="宋体" w:hint="eastAsia"/>
          <w:szCs w:val="21"/>
        </w:rPr>
        <w:t>申明</w:t>
      </w:r>
      <w:r>
        <w:rPr>
          <w:rFonts w:ascii="宋体" w:hAnsi="宋体"/>
          <w:szCs w:val="21"/>
        </w:rPr>
        <w:t>文件。</w:t>
      </w:r>
    </w:p>
    <w:p w:rsidR="00F22945" w:rsidRDefault="00325CE1">
      <w:pPr>
        <w:spacing w:line="276" w:lineRule="auto"/>
        <w:ind w:left="426"/>
        <w:rPr>
          <w:rFonts w:ascii="宋体" w:hAnsi="宋体" w:cs="宋体"/>
          <w:kern w:val="0"/>
          <w:szCs w:val="21"/>
        </w:rPr>
      </w:pPr>
      <w:r>
        <w:rPr>
          <w:rFonts w:ascii="宋体" w:hAnsi="宋体" w:cs="宋体"/>
          <w:kern w:val="0"/>
          <w:szCs w:val="21"/>
        </w:rPr>
        <w:t>5.</w:t>
      </w:r>
      <w:r>
        <w:rPr>
          <w:rFonts w:ascii="宋体" w:hAnsi="宋体" w:cs="宋体" w:hint="eastAsia"/>
          <w:kern w:val="0"/>
          <w:szCs w:val="21"/>
        </w:rPr>
        <w:t>委托他人临柜代办，须提供的材料：</w:t>
      </w:r>
    </w:p>
    <w:p w:rsidR="00F22945" w:rsidRDefault="00325CE1">
      <w:pPr>
        <w:numPr>
          <w:ilvl w:val="0"/>
          <w:numId w:val="4"/>
        </w:numPr>
        <w:tabs>
          <w:tab w:val="left" w:pos="993"/>
        </w:tabs>
        <w:spacing w:line="276" w:lineRule="auto"/>
        <w:ind w:rightChars="-7" w:right="-15" w:firstLine="6"/>
        <w:rPr>
          <w:rFonts w:ascii="宋体" w:hAnsi="宋体"/>
          <w:szCs w:val="21"/>
        </w:rPr>
      </w:pPr>
      <w:bookmarkStart w:id="5" w:name="OLE_LINK13"/>
      <w:bookmarkStart w:id="6" w:name="OLE_LINK12"/>
      <w:r>
        <w:rPr>
          <w:rFonts w:ascii="宋体" w:hAnsi="宋体" w:hint="eastAsia"/>
          <w:szCs w:val="21"/>
        </w:rPr>
        <w:t>填妥的经申请人签字确认的《账户业务申请表</w:t>
      </w:r>
      <w:r>
        <w:rPr>
          <w:rFonts w:ascii="宋体" w:hAnsi="宋体"/>
          <w:szCs w:val="21"/>
        </w:rPr>
        <w:t>(个人)》；</w:t>
      </w:r>
    </w:p>
    <w:p w:rsidR="00F22945" w:rsidRDefault="00325CE1">
      <w:pPr>
        <w:numPr>
          <w:ilvl w:val="0"/>
          <w:numId w:val="4"/>
        </w:numPr>
        <w:tabs>
          <w:tab w:val="left" w:pos="993"/>
        </w:tabs>
        <w:spacing w:line="276" w:lineRule="auto"/>
        <w:ind w:rightChars="-7" w:right="-15" w:firstLine="6"/>
        <w:rPr>
          <w:rFonts w:ascii="宋体" w:hAnsi="宋体"/>
          <w:szCs w:val="21"/>
        </w:rPr>
      </w:pPr>
      <w:r>
        <w:rPr>
          <w:rFonts w:ascii="宋体" w:hAnsi="宋体" w:hint="eastAsia"/>
          <w:szCs w:val="21"/>
        </w:rPr>
        <w:t>申请人有效身份证件原件及签字确认的复印件；</w:t>
      </w:r>
    </w:p>
    <w:p w:rsidR="00F22945" w:rsidRDefault="00325CE1">
      <w:pPr>
        <w:numPr>
          <w:ilvl w:val="0"/>
          <w:numId w:val="4"/>
        </w:numPr>
        <w:tabs>
          <w:tab w:val="left" w:pos="993"/>
        </w:tabs>
        <w:spacing w:line="276" w:lineRule="auto"/>
        <w:ind w:rightChars="-7" w:right="-15" w:firstLine="6"/>
        <w:rPr>
          <w:rFonts w:ascii="宋体" w:hAnsi="宋体"/>
          <w:szCs w:val="21"/>
        </w:rPr>
      </w:pPr>
      <w:r>
        <w:rPr>
          <w:rFonts w:ascii="宋体" w:hAnsi="宋体" w:hint="eastAsia"/>
          <w:szCs w:val="21"/>
        </w:rPr>
        <w:t>代办人有效身份证件原件及复印件；</w:t>
      </w:r>
    </w:p>
    <w:p w:rsidR="00F22945" w:rsidRDefault="00325CE1">
      <w:pPr>
        <w:numPr>
          <w:ilvl w:val="0"/>
          <w:numId w:val="4"/>
        </w:numPr>
        <w:tabs>
          <w:tab w:val="left" w:pos="993"/>
        </w:tabs>
        <w:spacing w:line="276" w:lineRule="auto"/>
        <w:ind w:rightChars="-7" w:right="-15" w:firstLine="6"/>
        <w:rPr>
          <w:rFonts w:ascii="宋体" w:hAnsi="宋体"/>
          <w:szCs w:val="21"/>
        </w:rPr>
      </w:pPr>
      <w:r>
        <w:rPr>
          <w:rFonts w:ascii="宋体" w:hAnsi="宋体" w:hint="eastAsia"/>
          <w:szCs w:val="21"/>
        </w:rPr>
        <w:t>申请人预留的银行储蓄存折（卡）原件及签字确认的复印件；</w:t>
      </w:r>
    </w:p>
    <w:p w:rsidR="00F22945" w:rsidRDefault="00325CE1">
      <w:pPr>
        <w:numPr>
          <w:ilvl w:val="0"/>
          <w:numId w:val="4"/>
        </w:numPr>
        <w:tabs>
          <w:tab w:val="left" w:pos="993"/>
        </w:tabs>
        <w:spacing w:line="276" w:lineRule="auto"/>
        <w:ind w:rightChars="-7" w:right="-15" w:firstLine="6"/>
        <w:rPr>
          <w:rFonts w:ascii="宋体" w:hAnsi="宋体"/>
          <w:szCs w:val="21"/>
        </w:rPr>
      </w:pPr>
      <w:r>
        <w:rPr>
          <w:rFonts w:ascii="宋体" w:hAnsi="宋体" w:hint="eastAsia"/>
          <w:szCs w:val="21"/>
        </w:rPr>
        <w:t>填妥的《投资者类型评定及风险能力测评问卷》和《投资人权益须知》；</w:t>
      </w:r>
    </w:p>
    <w:p w:rsidR="00F22945" w:rsidRPr="00754935" w:rsidRDefault="00325CE1" w:rsidP="00754935">
      <w:pPr>
        <w:numPr>
          <w:ilvl w:val="0"/>
          <w:numId w:val="4"/>
        </w:numPr>
        <w:tabs>
          <w:tab w:val="left" w:pos="993"/>
        </w:tabs>
        <w:spacing w:line="276" w:lineRule="auto"/>
        <w:ind w:rightChars="-7" w:right="-15" w:firstLine="6"/>
        <w:rPr>
          <w:rFonts w:ascii="宋体" w:hAnsi="宋体" w:hint="eastAsia"/>
          <w:szCs w:val="21"/>
        </w:rPr>
      </w:pPr>
      <w:r>
        <w:rPr>
          <w:rFonts w:ascii="宋体" w:hAnsi="宋体" w:hint="eastAsia"/>
          <w:szCs w:val="21"/>
        </w:rPr>
        <w:t>《传真</w:t>
      </w:r>
      <w:r>
        <w:rPr>
          <w:rFonts w:ascii="宋体" w:hAnsi="宋体"/>
          <w:szCs w:val="21"/>
        </w:rPr>
        <w:t>交易协议书</w:t>
      </w:r>
      <w:r>
        <w:rPr>
          <w:rFonts w:ascii="宋体" w:hAnsi="宋体" w:hint="eastAsia"/>
          <w:szCs w:val="21"/>
        </w:rPr>
        <w:t>》（如需</w:t>
      </w:r>
      <w:r>
        <w:rPr>
          <w:rFonts w:ascii="宋体" w:hAnsi="宋体"/>
          <w:szCs w:val="21"/>
        </w:rPr>
        <w:t>开通传真交易）</w:t>
      </w:r>
      <w:r>
        <w:rPr>
          <w:rFonts w:ascii="宋体" w:hAnsi="宋体" w:hint="eastAsia"/>
          <w:szCs w:val="21"/>
        </w:rPr>
        <w:t>；</w:t>
      </w:r>
    </w:p>
    <w:p w:rsidR="00F22945" w:rsidRDefault="00325CE1">
      <w:pPr>
        <w:numPr>
          <w:ilvl w:val="0"/>
          <w:numId w:val="4"/>
        </w:numPr>
        <w:tabs>
          <w:tab w:val="left" w:pos="993"/>
        </w:tabs>
        <w:spacing w:line="276" w:lineRule="auto"/>
        <w:ind w:rightChars="-7" w:right="-15" w:firstLine="6"/>
        <w:rPr>
          <w:rFonts w:ascii="宋体" w:hAnsi="宋体"/>
          <w:szCs w:val="21"/>
        </w:rPr>
      </w:pPr>
      <w:r>
        <w:rPr>
          <w:rFonts w:ascii="宋体" w:hAnsi="宋体" w:hint="eastAsia"/>
          <w:szCs w:val="21"/>
        </w:rPr>
        <w:t>经申请人本人签字确认并经公证处公证的《业务授权委托书》；</w:t>
      </w:r>
    </w:p>
    <w:p w:rsidR="00F22945" w:rsidRDefault="00325CE1">
      <w:pPr>
        <w:numPr>
          <w:ilvl w:val="0"/>
          <w:numId w:val="4"/>
        </w:numPr>
        <w:tabs>
          <w:tab w:val="left" w:pos="993"/>
        </w:tabs>
        <w:spacing w:line="276" w:lineRule="auto"/>
        <w:ind w:left="0" w:rightChars="-7" w:right="-15" w:firstLine="426"/>
        <w:rPr>
          <w:rFonts w:ascii="宋体" w:hAnsi="宋体"/>
          <w:szCs w:val="21"/>
        </w:rPr>
      </w:pPr>
      <w:r>
        <w:rPr>
          <w:rFonts w:ascii="宋体" w:hAnsi="宋体" w:hint="eastAsia"/>
          <w:szCs w:val="21"/>
        </w:rPr>
        <w:t>经申请人本人签字确认的金融</w:t>
      </w:r>
      <w:r>
        <w:rPr>
          <w:rFonts w:ascii="宋体" w:hAnsi="宋体"/>
          <w:szCs w:val="21"/>
        </w:rPr>
        <w:t>资产证明</w:t>
      </w:r>
      <w:r>
        <w:rPr>
          <w:rFonts w:ascii="宋体" w:hAnsi="宋体" w:hint="eastAsia"/>
          <w:szCs w:val="21"/>
        </w:rPr>
        <w:t>及个人</w:t>
      </w:r>
      <w:r>
        <w:rPr>
          <w:rFonts w:ascii="宋体" w:hAnsi="宋体"/>
          <w:szCs w:val="21"/>
        </w:rPr>
        <w:t>收入证明(如未提供</w:t>
      </w:r>
      <w:r>
        <w:rPr>
          <w:rFonts w:ascii="宋体" w:hAnsi="宋体" w:hint="eastAsia"/>
          <w:szCs w:val="21"/>
        </w:rPr>
        <w:t>，</w:t>
      </w:r>
      <w:r>
        <w:rPr>
          <w:rFonts w:ascii="宋体" w:hAnsi="宋体"/>
          <w:szCs w:val="21"/>
        </w:rPr>
        <w:t>默认</w:t>
      </w:r>
      <w:r>
        <w:rPr>
          <w:rFonts w:ascii="宋体" w:hAnsi="宋体" w:hint="eastAsia"/>
          <w:szCs w:val="21"/>
        </w:rPr>
        <w:t>为</w:t>
      </w:r>
      <w:r>
        <w:rPr>
          <w:rFonts w:ascii="宋体" w:hAnsi="宋体"/>
          <w:szCs w:val="21"/>
        </w:rPr>
        <w:t>普通投资者)；</w:t>
      </w:r>
    </w:p>
    <w:p w:rsidR="00F22945" w:rsidRDefault="00325CE1">
      <w:pPr>
        <w:numPr>
          <w:ilvl w:val="0"/>
          <w:numId w:val="4"/>
        </w:numPr>
        <w:tabs>
          <w:tab w:val="left" w:pos="993"/>
        </w:tabs>
        <w:spacing w:line="276" w:lineRule="auto"/>
        <w:ind w:left="0" w:rightChars="-7" w:right="-15" w:firstLine="426"/>
        <w:rPr>
          <w:rFonts w:ascii="宋体" w:hAnsi="宋体"/>
          <w:szCs w:val="21"/>
        </w:rPr>
      </w:pPr>
      <w:r>
        <w:rPr>
          <w:rFonts w:ascii="宋体" w:hAnsi="宋体" w:hint="eastAsia"/>
          <w:szCs w:val="21"/>
        </w:rPr>
        <w:t>经申请人本人签字确认的投资经历或投资</w:t>
      </w:r>
      <w:r>
        <w:rPr>
          <w:rFonts w:ascii="宋体" w:hAnsi="宋体"/>
          <w:szCs w:val="21"/>
        </w:rPr>
        <w:t>相关工作经验</w:t>
      </w:r>
      <w:r>
        <w:rPr>
          <w:rFonts w:ascii="宋体" w:hAnsi="宋体" w:hint="eastAsia"/>
          <w:szCs w:val="21"/>
        </w:rPr>
        <w:t>的证明</w:t>
      </w:r>
      <w:r>
        <w:rPr>
          <w:rFonts w:ascii="宋体" w:hAnsi="宋体"/>
          <w:szCs w:val="21"/>
        </w:rPr>
        <w:t>文件(如未提供</w:t>
      </w:r>
      <w:r>
        <w:rPr>
          <w:rFonts w:ascii="宋体" w:hAnsi="宋体" w:hint="eastAsia"/>
          <w:szCs w:val="21"/>
        </w:rPr>
        <w:t>，</w:t>
      </w:r>
      <w:r>
        <w:rPr>
          <w:rFonts w:ascii="宋体" w:hAnsi="宋体"/>
          <w:szCs w:val="21"/>
        </w:rPr>
        <w:t>默认</w:t>
      </w:r>
      <w:r>
        <w:rPr>
          <w:rFonts w:ascii="宋体" w:hAnsi="宋体" w:hint="eastAsia"/>
          <w:szCs w:val="21"/>
        </w:rPr>
        <w:t>为</w:t>
      </w:r>
      <w:r>
        <w:rPr>
          <w:rFonts w:ascii="宋体" w:hAnsi="宋体"/>
          <w:szCs w:val="21"/>
        </w:rPr>
        <w:t>普通投资者)；</w:t>
      </w:r>
    </w:p>
    <w:p w:rsidR="00F22945" w:rsidRDefault="00325CE1">
      <w:pPr>
        <w:numPr>
          <w:ilvl w:val="0"/>
          <w:numId w:val="4"/>
        </w:numPr>
        <w:tabs>
          <w:tab w:val="left" w:pos="993"/>
        </w:tabs>
        <w:spacing w:line="276" w:lineRule="auto"/>
        <w:ind w:left="0" w:rightChars="-7" w:right="-15" w:firstLine="426"/>
        <w:rPr>
          <w:rFonts w:ascii="宋体" w:hAnsi="宋体"/>
          <w:szCs w:val="21"/>
        </w:rPr>
      </w:pPr>
      <w:r>
        <w:rPr>
          <w:rFonts w:ascii="宋体" w:hAnsi="宋体" w:hint="eastAsia"/>
          <w:szCs w:val="21"/>
        </w:rPr>
        <w:t>申请人的诚信</w:t>
      </w:r>
      <w:r>
        <w:rPr>
          <w:rFonts w:ascii="宋体" w:hAnsi="宋体"/>
          <w:szCs w:val="21"/>
        </w:rPr>
        <w:t>记录证明材料</w:t>
      </w:r>
      <w:r>
        <w:rPr>
          <w:rFonts w:ascii="宋体" w:hAnsi="宋体" w:hint="eastAsia"/>
          <w:szCs w:val="21"/>
        </w:rPr>
        <w:t>；</w:t>
      </w:r>
    </w:p>
    <w:p w:rsidR="00F22945" w:rsidRDefault="00325CE1">
      <w:pPr>
        <w:numPr>
          <w:ilvl w:val="0"/>
          <w:numId w:val="4"/>
        </w:numPr>
        <w:tabs>
          <w:tab w:val="left" w:pos="993"/>
        </w:tabs>
        <w:spacing w:line="276" w:lineRule="auto"/>
        <w:ind w:left="0" w:rightChars="-7" w:right="-15" w:firstLine="426"/>
        <w:rPr>
          <w:rFonts w:ascii="宋体" w:hAnsi="宋体"/>
          <w:szCs w:val="21"/>
        </w:rPr>
      </w:pPr>
      <w:r>
        <w:rPr>
          <w:rFonts w:ascii="宋体" w:hAnsi="宋体" w:hint="eastAsia"/>
          <w:szCs w:val="21"/>
        </w:rPr>
        <w:t>税收</w:t>
      </w:r>
      <w:r>
        <w:rPr>
          <w:rFonts w:ascii="宋体" w:hAnsi="宋体"/>
          <w:szCs w:val="21"/>
        </w:rPr>
        <w:t>居民身份</w:t>
      </w:r>
      <w:r>
        <w:rPr>
          <w:rFonts w:ascii="宋体" w:hAnsi="宋体" w:hint="eastAsia"/>
          <w:szCs w:val="21"/>
        </w:rPr>
        <w:t>申明</w:t>
      </w:r>
      <w:r>
        <w:rPr>
          <w:rFonts w:ascii="宋体" w:hAnsi="宋体"/>
          <w:szCs w:val="21"/>
        </w:rPr>
        <w:t>文件。</w:t>
      </w:r>
    </w:p>
    <w:bookmarkEnd w:id="5"/>
    <w:bookmarkEnd w:id="6"/>
    <w:p w:rsidR="00F22945" w:rsidRDefault="00325CE1" w:rsidP="00754935">
      <w:pPr>
        <w:spacing w:line="276" w:lineRule="auto"/>
        <w:ind w:firstLineChars="227" w:firstLine="477"/>
        <w:rPr>
          <w:rFonts w:ascii="宋体" w:hAnsi="宋体" w:cs="宋体"/>
          <w:kern w:val="0"/>
          <w:szCs w:val="21"/>
        </w:rPr>
      </w:pPr>
      <w:r>
        <w:rPr>
          <w:rFonts w:ascii="宋体" w:hAnsi="宋体" w:cs="宋体"/>
          <w:kern w:val="0"/>
          <w:szCs w:val="21"/>
        </w:rPr>
        <w:t>6.未满18周岁</w:t>
      </w:r>
      <w:r>
        <w:rPr>
          <w:rFonts w:ascii="宋体" w:hAnsi="宋体" w:cs="宋体" w:hint="eastAsia"/>
          <w:kern w:val="0"/>
          <w:szCs w:val="21"/>
        </w:rPr>
        <w:t>的</w:t>
      </w:r>
      <w:r>
        <w:rPr>
          <w:rFonts w:ascii="宋体" w:hAnsi="宋体" w:cs="宋体"/>
          <w:kern w:val="0"/>
          <w:szCs w:val="21"/>
        </w:rPr>
        <w:t>个人投资者，则须由未成年人的监护人（法定代理人）</w:t>
      </w:r>
      <w:r>
        <w:rPr>
          <w:rFonts w:ascii="宋体" w:hAnsi="宋体" w:cs="宋体" w:hint="eastAsia"/>
          <w:kern w:val="0"/>
          <w:szCs w:val="21"/>
        </w:rPr>
        <w:t>代理</w:t>
      </w:r>
      <w:r>
        <w:rPr>
          <w:rFonts w:ascii="宋体" w:hAnsi="宋体" w:cs="宋体"/>
          <w:kern w:val="0"/>
          <w:szCs w:val="21"/>
        </w:rPr>
        <w:t>办理</w:t>
      </w:r>
      <w:r>
        <w:rPr>
          <w:rFonts w:ascii="宋体" w:hAnsi="宋体" w:cs="宋体" w:hint="eastAsia"/>
          <w:kern w:val="0"/>
          <w:szCs w:val="21"/>
        </w:rPr>
        <w:t>，除遵循上述第</w:t>
      </w:r>
      <w:r>
        <w:rPr>
          <w:rFonts w:ascii="宋体" w:hAnsi="宋体" w:cs="宋体"/>
          <w:kern w:val="0"/>
          <w:szCs w:val="21"/>
        </w:rPr>
        <w:t>1条所需材料外，还须提供</w:t>
      </w:r>
      <w:r>
        <w:rPr>
          <w:rFonts w:ascii="宋体" w:hAnsi="宋体" w:cs="宋体" w:hint="eastAsia"/>
          <w:kern w:val="0"/>
          <w:szCs w:val="21"/>
        </w:rPr>
        <w:t>的材料</w:t>
      </w:r>
      <w:r>
        <w:rPr>
          <w:rFonts w:ascii="宋体" w:hAnsi="宋体" w:cs="宋体"/>
          <w:kern w:val="0"/>
          <w:szCs w:val="21"/>
        </w:rPr>
        <w:t>：</w:t>
      </w:r>
    </w:p>
    <w:p w:rsidR="00F22945" w:rsidRDefault="00325CE1">
      <w:pPr>
        <w:tabs>
          <w:tab w:val="left" w:pos="993"/>
        </w:tabs>
        <w:spacing w:line="276" w:lineRule="auto"/>
        <w:ind w:left="426" w:rightChars="-7" w:right="-15"/>
        <w:rPr>
          <w:rFonts w:ascii="宋体" w:hAnsi="宋体"/>
          <w:szCs w:val="21"/>
        </w:rPr>
      </w:pPr>
      <w:r>
        <w:rPr>
          <w:rFonts w:ascii="宋体" w:hAnsi="宋体" w:hint="eastAsia"/>
          <w:szCs w:val="21"/>
        </w:rPr>
        <w:t>（</w:t>
      </w:r>
      <w:r>
        <w:rPr>
          <w:rFonts w:ascii="宋体" w:hAnsi="宋体"/>
          <w:szCs w:val="21"/>
        </w:rPr>
        <w:t>1）提供填写合格并由监护人签字确认的《账户业务申请表(个人)》；</w:t>
      </w:r>
    </w:p>
    <w:p w:rsidR="00F22945" w:rsidRDefault="00325CE1">
      <w:pPr>
        <w:tabs>
          <w:tab w:val="left" w:pos="993"/>
        </w:tabs>
        <w:spacing w:line="276" w:lineRule="auto"/>
        <w:ind w:left="426" w:rightChars="-7" w:right="-15"/>
        <w:rPr>
          <w:rFonts w:ascii="宋体" w:hAnsi="宋体"/>
          <w:szCs w:val="21"/>
        </w:rPr>
      </w:pPr>
      <w:r>
        <w:rPr>
          <w:rFonts w:ascii="宋体" w:hAnsi="宋体" w:hint="eastAsia"/>
          <w:szCs w:val="21"/>
        </w:rPr>
        <w:t>（</w:t>
      </w:r>
      <w:r>
        <w:rPr>
          <w:rFonts w:ascii="宋体" w:hAnsi="宋体"/>
          <w:szCs w:val="21"/>
        </w:rPr>
        <w:t>2）出示监护人有效身份证件原件</w:t>
      </w:r>
      <w:r>
        <w:rPr>
          <w:rFonts w:ascii="宋体" w:hAnsi="宋体" w:hint="eastAsia"/>
          <w:szCs w:val="21"/>
        </w:rPr>
        <w:t>，提供</w:t>
      </w:r>
      <w:r>
        <w:rPr>
          <w:rFonts w:ascii="宋体" w:hAnsi="宋体"/>
          <w:szCs w:val="21"/>
        </w:rPr>
        <w:t>复印件；</w:t>
      </w:r>
    </w:p>
    <w:p w:rsidR="00F22945" w:rsidRDefault="00325CE1">
      <w:pPr>
        <w:tabs>
          <w:tab w:val="left" w:pos="993"/>
        </w:tabs>
        <w:spacing w:line="276" w:lineRule="auto"/>
        <w:ind w:rightChars="-7" w:right="-15" w:firstLineChars="177" w:firstLine="372"/>
        <w:rPr>
          <w:rFonts w:ascii="宋体" w:hAnsi="宋体"/>
          <w:szCs w:val="21"/>
        </w:rPr>
      </w:pPr>
      <w:r>
        <w:rPr>
          <w:rFonts w:ascii="宋体" w:hAnsi="宋体" w:hint="eastAsia"/>
          <w:szCs w:val="21"/>
        </w:rPr>
        <w:t>（</w:t>
      </w:r>
      <w:r>
        <w:rPr>
          <w:rFonts w:ascii="宋体" w:hAnsi="宋体"/>
          <w:szCs w:val="21"/>
        </w:rPr>
        <w:t>3）出示未成年人的户口簿</w:t>
      </w:r>
      <w:r>
        <w:rPr>
          <w:rFonts w:ascii="宋体" w:hAnsi="宋体" w:hint="eastAsia"/>
          <w:szCs w:val="21"/>
        </w:rPr>
        <w:t>原件，提供复印件</w:t>
      </w:r>
      <w:r>
        <w:rPr>
          <w:rFonts w:ascii="宋体" w:hAnsi="宋体"/>
          <w:szCs w:val="21"/>
        </w:rPr>
        <w:t>（注：未成年人的监护人为其父母只需提供未成年人的户口簿；如由其它人担任监护人的，监护人除提交上述资料外，</w:t>
      </w:r>
      <w:r>
        <w:rPr>
          <w:rFonts w:ascii="宋体" w:hAnsi="宋体" w:hint="eastAsia"/>
          <w:szCs w:val="21"/>
        </w:rPr>
        <w:t>还需提供未成年人父母已故或不具备监护能力的证明以及现任监护人具有监护资格的证明</w:t>
      </w:r>
      <w:r>
        <w:rPr>
          <w:rFonts w:ascii="宋体" w:hAnsi="宋体"/>
          <w:szCs w:val="21"/>
        </w:rPr>
        <w:t>）</w:t>
      </w:r>
      <w:r>
        <w:rPr>
          <w:rFonts w:ascii="宋体" w:hAnsi="宋体" w:hint="eastAsia"/>
          <w:szCs w:val="21"/>
        </w:rPr>
        <w:t>；</w:t>
      </w:r>
    </w:p>
    <w:p w:rsidR="00F22945" w:rsidRDefault="00325CE1">
      <w:pPr>
        <w:tabs>
          <w:tab w:val="left" w:pos="993"/>
        </w:tabs>
        <w:spacing w:line="276" w:lineRule="auto"/>
        <w:ind w:left="426" w:rightChars="-7" w:right="-15"/>
        <w:rPr>
          <w:rFonts w:ascii="宋体" w:hAnsi="宋体"/>
          <w:szCs w:val="21"/>
        </w:rPr>
      </w:pPr>
      <w:r>
        <w:rPr>
          <w:rFonts w:ascii="宋体" w:hAnsi="宋体" w:hint="eastAsia"/>
          <w:szCs w:val="21"/>
        </w:rPr>
        <w:t>（</w:t>
      </w:r>
      <w:r>
        <w:rPr>
          <w:rFonts w:ascii="宋体" w:hAnsi="宋体"/>
          <w:szCs w:val="21"/>
        </w:rPr>
        <w:t>4）监护人签署的《未成年人投资行为认可说明》原件</w:t>
      </w:r>
      <w:r>
        <w:rPr>
          <w:rFonts w:ascii="宋体" w:hAnsi="宋体" w:hint="eastAsia"/>
          <w:szCs w:val="21"/>
        </w:rPr>
        <w:t>；</w:t>
      </w:r>
    </w:p>
    <w:p w:rsidR="00F22945" w:rsidRDefault="00325CE1">
      <w:pPr>
        <w:tabs>
          <w:tab w:val="left" w:pos="993"/>
        </w:tabs>
        <w:spacing w:line="276" w:lineRule="auto"/>
        <w:ind w:rightChars="-7" w:right="-15" w:firstLineChars="177" w:firstLine="372"/>
        <w:rPr>
          <w:rFonts w:ascii="宋体" w:hAnsi="宋体"/>
          <w:szCs w:val="21"/>
        </w:rPr>
      </w:pPr>
      <w:r>
        <w:rPr>
          <w:rFonts w:ascii="宋体" w:hAnsi="宋体" w:hint="eastAsia"/>
          <w:szCs w:val="21"/>
        </w:rPr>
        <w:t>（5）</w:t>
      </w:r>
      <w:r>
        <w:rPr>
          <w:rFonts w:ascii="宋体" w:hAnsi="宋体"/>
          <w:szCs w:val="21"/>
        </w:rPr>
        <w:t>因遗产继承等原因申请开户的未成年人，还须提供被继承人死亡证明、有效亲属关系证明、经公证有效的遗嘱或遗赠扶养协议、监护人的身份信息及监护关系证明等文件</w:t>
      </w:r>
      <w:r>
        <w:rPr>
          <w:rFonts w:ascii="宋体" w:hAnsi="宋体" w:hint="eastAsia"/>
          <w:szCs w:val="21"/>
        </w:rPr>
        <w:t>；</w:t>
      </w:r>
    </w:p>
    <w:p w:rsidR="00F22945" w:rsidRDefault="00325CE1">
      <w:pPr>
        <w:tabs>
          <w:tab w:val="left" w:pos="993"/>
        </w:tabs>
        <w:spacing w:line="276" w:lineRule="auto"/>
        <w:ind w:rightChars="-7" w:right="-15" w:firstLineChars="177" w:firstLine="372"/>
        <w:rPr>
          <w:rFonts w:ascii="宋体" w:hAnsi="宋体"/>
          <w:szCs w:val="21"/>
        </w:rPr>
      </w:pPr>
      <w:r>
        <w:rPr>
          <w:rFonts w:ascii="宋体" w:hAnsi="宋体" w:hint="eastAsia"/>
          <w:szCs w:val="21"/>
        </w:rPr>
        <w:t>（6）</w:t>
      </w:r>
      <w:r>
        <w:rPr>
          <w:rFonts w:ascii="宋体" w:hAnsi="宋体"/>
          <w:szCs w:val="21"/>
        </w:rPr>
        <w:t>年满16周岁未满18岁、以自己的劳动收入为主要生活来源的自然人，</w:t>
      </w:r>
      <w:r>
        <w:rPr>
          <w:rFonts w:ascii="宋体" w:hAnsi="宋体" w:hint="eastAsia"/>
          <w:szCs w:val="21"/>
        </w:rPr>
        <w:t>还</w:t>
      </w:r>
      <w:r>
        <w:rPr>
          <w:rFonts w:ascii="宋体" w:hAnsi="宋体"/>
          <w:szCs w:val="21"/>
        </w:rPr>
        <w:t>须提供相关任职证明、收入证明</w:t>
      </w:r>
      <w:r>
        <w:rPr>
          <w:rFonts w:ascii="宋体" w:hAnsi="宋体" w:hint="eastAsia"/>
          <w:szCs w:val="21"/>
        </w:rPr>
        <w:t>或</w:t>
      </w:r>
      <w:r>
        <w:rPr>
          <w:rFonts w:ascii="宋体" w:hAnsi="宋体"/>
          <w:szCs w:val="21"/>
        </w:rPr>
        <w:t>劳动关系合同</w:t>
      </w:r>
      <w:r>
        <w:rPr>
          <w:rFonts w:ascii="宋体" w:hAnsi="宋体" w:hint="eastAsia"/>
          <w:szCs w:val="21"/>
        </w:rPr>
        <w:t>。</w:t>
      </w:r>
    </w:p>
    <w:p w:rsidR="00F22945" w:rsidRDefault="00325CE1">
      <w:pPr>
        <w:tabs>
          <w:tab w:val="left" w:pos="851"/>
          <w:tab w:val="left" w:pos="993"/>
        </w:tabs>
        <w:spacing w:line="276" w:lineRule="auto"/>
        <w:ind w:left="420"/>
        <w:jc w:val="left"/>
        <w:rPr>
          <w:rFonts w:ascii="宋体" w:hAnsi="宋体"/>
          <w:szCs w:val="21"/>
        </w:rPr>
      </w:pPr>
      <w:r>
        <w:rPr>
          <w:rFonts w:ascii="宋体" w:hAnsi="宋体"/>
          <w:szCs w:val="21"/>
        </w:rPr>
        <w:t>B.</w:t>
      </w:r>
      <w:r>
        <w:rPr>
          <w:rFonts w:ascii="宋体" w:hAnsi="宋体" w:hint="eastAsia"/>
          <w:szCs w:val="21"/>
        </w:rPr>
        <w:t>法人机构投资者开户和增开交易账户</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sz w:val="21"/>
          <w:szCs w:val="21"/>
        </w:rPr>
        <w:t>1.</w:t>
      </w:r>
      <w:r>
        <w:rPr>
          <w:rFonts w:ascii="宋体" w:eastAsia="宋体" w:hAnsi="宋体"/>
          <w:sz w:val="21"/>
          <w:szCs w:val="21"/>
        </w:rPr>
        <w:t xml:space="preserve"> </w:t>
      </w:r>
      <w:r>
        <w:rPr>
          <w:rFonts w:ascii="宋体" w:eastAsia="宋体" w:hAnsi="宋体" w:cs="宋体" w:hint="eastAsia"/>
          <w:sz w:val="21"/>
          <w:szCs w:val="21"/>
        </w:rPr>
        <w:t>投资者类型判定</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hint="eastAsia"/>
          <w:sz w:val="21"/>
          <w:szCs w:val="21"/>
        </w:rPr>
        <w:t>符合下列条件之一的法人机构投资者是专业投资者：</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经有关金融监管部门批准设立的金融机构，包括证券公司、期货公司、基金管理公司及其子公司、商业银行、保险公司、信托公司、财务公司等；经行业协会备案或者登记的证券公司子公司、期货公司子公司、私募基金管理人</w:t>
      </w:r>
      <w:r>
        <w:rPr>
          <w:rFonts w:ascii="宋体" w:eastAsia="宋体" w:hAnsi="宋体" w:cs="宋体" w:hint="eastAsia"/>
          <w:sz w:val="21"/>
          <w:szCs w:val="21"/>
        </w:rPr>
        <w:t>（默认</w:t>
      </w:r>
      <w:r>
        <w:rPr>
          <w:rFonts w:ascii="宋体" w:eastAsia="宋体" w:hAnsi="宋体" w:cs="宋体"/>
          <w:sz w:val="21"/>
          <w:szCs w:val="21"/>
        </w:rPr>
        <w:t>专业投资</w:t>
      </w:r>
      <w:r>
        <w:rPr>
          <w:rFonts w:ascii="宋体" w:eastAsia="宋体" w:hAnsi="宋体" w:cs="宋体" w:hint="eastAsia"/>
          <w:sz w:val="21"/>
          <w:szCs w:val="21"/>
        </w:rPr>
        <w:t>者</w:t>
      </w:r>
      <w:r>
        <w:rPr>
          <w:rFonts w:ascii="宋体" w:eastAsia="宋体" w:hAnsi="宋体" w:cs="宋体"/>
          <w:sz w:val="21"/>
          <w:szCs w:val="21"/>
        </w:rPr>
        <w:t>）。</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sz w:val="21"/>
          <w:szCs w:val="21"/>
        </w:rPr>
        <w:t>2）上述机构面向投资者发行的理财产品，包括但不限于证券公司资产管理产品、基金管理公司及其子公司产品、期货公司资产管理产品、银行理财产品、保险产品、信托产品、经行业协会备案的私募基金</w:t>
      </w:r>
      <w:r>
        <w:rPr>
          <w:rFonts w:ascii="宋体" w:eastAsia="宋体" w:hAnsi="宋体" w:cs="宋体" w:hint="eastAsia"/>
          <w:sz w:val="21"/>
          <w:szCs w:val="21"/>
        </w:rPr>
        <w:t>（默认</w:t>
      </w:r>
      <w:r>
        <w:rPr>
          <w:rFonts w:ascii="宋体" w:eastAsia="宋体" w:hAnsi="宋体" w:cs="宋体"/>
          <w:sz w:val="21"/>
          <w:szCs w:val="21"/>
        </w:rPr>
        <w:t>专业投资</w:t>
      </w:r>
      <w:r>
        <w:rPr>
          <w:rFonts w:ascii="宋体" w:eastAsia="宋体" w:hAnsi="宋体" w:cs="宋体" w:hint="eastAsia"/>
          <w:sz w:val="21"/>
          <w:szCs w:val="21"/>
        </w:rPr>
        <w:t>者</w:t>
      </w:r>
      <w:r>
        <w:rPr>
          <w:rFonts w:ascii="宋体" w:eastAsia="宋体" w:hAnsi="宋体" w:cs="宋体"/>
          <w:sz w:val="21"/>
          <w:szCs w:val="21"/>
        </w:rPr>
        <w:t>）。</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3）社会保障基金、企业年金等养老基金，慈善基金等社会公益基金，合格境外机构投资者（QFII）、人民币合格境外机构投资者（RQFII）</w:t>
      </w:r>
      <w:r>
        <w:rPr>
          <w:rFonts w:ascii="宋体" w:eastAsia="宋体" w:hAnsi="宋体" w:cs="宋体" w:hint="eastAsia"/>
          <w:sz w:val="21"/>
          <w:szCs w:val="21"/>
        </w:rPr>
        <w:t>（默认</w:t>
      </w:r>
      <w:r>
        <w:rPr>
          <w:rFonts w:ascii="宋体" w:eastAsia="宋体" w:hAnsi="宋体" w:cs="宋体"/>
          <w:sz w:val="21"/>
          <w:szCs w:val="21"/>
        </w:rPr>
        <w:t>专业投资</w:t>
      </w:r>
      <w:r>
        <w:rPr>
          <w:rFonts w:ascii="宋体" w:eastAsia="宋体" w:hAnsi="宋体" w:cs="宋体" w:hint="eastAsia"/>
          <w:sz w:val="21"/>
          <w:szCs w:val="21"/>
        </w:rPr>
        <w:t>者</w:t>
      </w:r>
      <w:r>
        <w:rPr>
          <w:rFonts w:ascii="宋体" w:eastAsia="宋体" w:hAnsi="宋体" w:cs="宋体"/>
          <w:sz w:val="21"/>
          <w:szCs w:val="21"/>
        </w:rPr>
        <w:t>）。</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4）同时符合下列条件的法人或者其他组织：</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sz w:val="21"/>
          <w:szCs w:val="21"/>
        </w:rPr>
        <w:t>1）最近1年末净资产不低于2000万元；</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sz w:val="21"/>
          <w:szCs w:val="21"/>
        </w:rPr>
        <w:t>2）最近1年末金融资产不低于1000万元；</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sz w:val="21"/>
          <w:szCs w:val="21"/>
        </w:rPr>
        <w:t>3）具有2年以上证券、基金、期货、黄金、外汇等投资经历。</w:t>
      </w:r>
    </w:p>
    <w:p w:rsidR="00F22945" w:rsidRDefault="00325CE1">
      <w:pPr>
        <w:pStyle w:val="12"/>
        <w:spacing w:after="0" w:line="276" w:lineRule="auto"/>
        <w:ind w:firstLineChars="236" w:firstLine="496"/>
        <w:rPr>
          <w:rFonts w:ascii="宋体" w:eastAsia="宋体" w:hAnsi="宋体" w:cs="宋体"/>
          <w:sz w:val="21"/>
          <w:szCs w:val="21"/>
        </w:rPr>
      </w:pPr>
      <w:r>
        <w:rPr>
          <w:rFonts w:ascii="宋体" w:eastAsia="宋体" w:hAnsi="宋体" w:cs="宋体"/>
          <w:sz w:val="21"/>
          <w:szCs w:val="21"/>
        </w:rPr>
        <w:t>2.专业投资者之外的投资者为普通投资者。符合本条第（4）项规定的专业投资者，可以书面告知本公司选择成为普通投资者，本公司应当对其履行相应的适当性义务。</w:t>
      </w:r>
    </w:p>
    <w:p w:rsidR="00F22945" w:rsidRDefault="00325CE1">
      <w:pPr>
        <w:pStyle w:val="12"/>
        <w:tabs>
          <w:tab w:val="left" w:pos="993"/>
        </w:tabs>
        <w:spacing w:after="0" w:line="276" w:lineRule="auto"/>
        <w:ind w:rightChars="-7" w:right="-15" w:firstLineChars="236" w:firstLine="496"/>
        <w:rPr>
          <w:rFonts w:ascii="宋体" w:eastAsia="宋体" w:hAnsi="宋体"/>
          <w:sz w:val="21"/>
          <w:szCs w:val="21"/>
        </w:rPr>
      </w:pPr>
      <w:r>
        <w:rPr>
          <w:rFonts w:ascii="宋体" w:eastAsia="宋体" w:hAnsi="宋体"/>
          <w:sz w:val="21"/>
          <w:szCs w:val="21"/>
        </w:rPr>
        <w:t xml:space="preserve">3. </w:t>
      </w:r>
      <w:r>
        <w:rPr>
          <w:rFonts w:ascii="宋体" w:eastAsia="宋体" w:hAnsi="宋体" w:hint="eastAsia"/>
          <w:sz w:val="21"/>
          <w:szCs w:val="21"/>
        </w:rPr>
        <w:t>符合下列条件的普通投资者可以申请转化成为专业投资者，但本公司有权自主决定是否同意其转化：</w:t>
      </w:r>
    </w:p>
    <w:p w:rsidR="00F22945" w:rsidRDefault="00325CE1">
      <w:pPr>
        <w:pStyle w:val="12"/>
        <w:tabs>
          <w:tab w:val="left" w:pos="993"/>
        </w:tabs>
        <w:spacing w:after="0" w:line="276" w:lineRule="auto"/>
        <w:ind w:rightChars="-7" w:right="-15" w:firstLineChars="236" w:firstLine="496"/>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1年末净资产不低于1000万元，最近1年末金融资产不低于500万元，且具有1年以上证券、基金、期货、黄金、外汇等投资经历的除专业投资者外的法人或其他组织。</w:t>
      </w:r>
    </w:p>
    <w:p w:rsidR="00F22945" w:rsidRDefault="00325CE1">
      <w:pPr>
        <w:spacing w:line="276" w:lineRule="auto"/>
        <w:ind w:left="426"/>
        <w:jc w:val="left"/>
        <w:rPr>
          <w:rFonts w:ascii="宋体" w:hAnsi="宋体" w:cs="宋体"/>
          <w:kern w:val="0"/>
          <w:szCs w:val="21"/>
        </w:rPr>
      </w:pPr>
      <w:r>
        <w:rPr>
          <w:rFonts w:ascii="宋体" w:hAnsi="宋体" w:cs="宋体"/>
          <w:kern w:val="0"/>
          <w:szCs w:val="21"/>
        </w:rPr>
        <w:t xml:space="preserve">4. </w:t>
      </w:r>
      <w:r>
        <w:rPr>
          <w:rFonts w:ascii="宋体" w:hAnsi="宋体" w:cs="宋体" w:hint="eastAsia"/>
          <w:kern w:val="0"/>
          <w:szCs w:val="21"/>
        </w:rPr>
        <w:t>机构投资者被授权人临柜办理，须提供的材料：</w:t>
      </w:r>
    </w:p>
    <w:p w:rsidR="00F22945" w:rsidRDefault="00325CE1">
      <w:pPr>
        <w:numPr>
          <w:ilvl w:val="0"/>
          <w:numId w:val="5"/>
        </w:numPr>
        <w:tabs>
          <w:tab w:val="left" w:pos="993"/>
        </w:tabs>
        <w:spacing w:line="276" w:lineRule="auto"/>
        <w:ind w:left="0" w:rightChars="-7" w:right="-15" w:firstLine="426"/>
        <w:rPr>
          <w:rFonts w:ascii="宋体" w:hAnsi="宋体"/>
          <w:szCs w:val="21"/>
        </w:rPr>
      </w:pPr>
      <w:r>
        <w:rPr>
          <w:rFonts w:ascii="宋体" w:hAnsi="宋体" w:hint="eastAsia"/>
          <w:szCs w:val="21"/>
        </w:rPr>
        <w:t>填妥并加盖公章</w:t>
      </w:r>
      <w:r>
        <w:rPr>
          <w:rFonts w:ascii="宋体" w:hAnsi="宋体"/>
          <w:szCs w:val="21"/>
        </w:rPr>
        <w:t>/业务章</w:t>
      </w:r>
      <w:r>
        <w:rPr>
          <w:rFonts w:ascii="宋体" w:hAnsi="宋体" w:hint="eastAsia"/>
          <w:szCs w:val="21"/>
        </w:rPr>
        <w:t>和法定代表人签章</w:t>
      </w:r>
      <w:r>
        <w:rPr>
          <w:rFonts w:ascii="宋体" w:hAnsi="宋体"/>
          <w:szCs w:val="21"/>
        </w:rPr>
        <w:t>/私人签章</w:t>
      </w:r>
      <w:r>
        <w:rPr>
          <w:rFonts w:ascii="宋体" w:hAnsi="宋体" w:hint="eastAsia"/>
          <w:szCs w:val="21"/>
        </w:rPr>
        <w:t>（加盖业务章和私章需提交有效的授权文件，下同）的《账户业务申请表</w:t>
      </w:r>
      <w:r>
        <w:rPr>
          <w:rFonts w:ascii="宋体" w:hAnsi="宋体"/>
          <w:szCs w:val="21"/>
        </w:rPr>
        <w:t>(机构)</w:t>
      </w:r>
      <w:r>
        <w:rPr>
          <w:rFonts w:ascii="宋体" w:hAnsi="宋体" w:hint="eastAsia"/>
          <w:szCs w:val="21"/>
        </w:rPr>
        <w:t>》、投资者基本信息表（机构）或投资者基本信息表（产品）；</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企业营业执照、组织机构代码证、税务登记证</w:t>
      </w:r>
      <w:r>
        <w:rPr>
          <w:rFonts w:ascii="宋体" w:hAnsi="宋体"/>
          <w:szCs w:val="21"/>
        </w:rPr>
        <w:t>(如果已经办理三证合一,可以只提交营业执照,下同)</w:t>
      </w:r>
      <w:r>
        <w:rPr>
          <w:rFonts w:ascii="宋体" w:hAnsi="宋体" w:hint="eastAsia"/>
          <w:szCs w:val="21"/>
        </w:rPr>
        <w:t>的加盖公章</w:t>
      </w:r>
      <w:r>
        <w:rPr>
          <w:rFonts w:ascii="宋体" w:hAnsi="宋体"/>
          <w:szCs w:val="21"/>
        </w:rPr>
        <w:t>/业务章</w:t>
      </w:r>
      <w:r>
        <w:rPr>
          <w:rFonts w:ascii="宋体" w:hAnsi="宋体" w:hint="eastAsia"/>
          <w:szCs w:val="21"/>
        </w:rPr>
        <w:t>的复印件；事业法人、社会团体或其它组织提供民政部门或主管部门颁发的注册登记证书、组织机构代码证和税务登记证的加盖公章</w:t>
      </w:r>
      <w:r>
        <w:rPr>
          <w:rFonts w:ascii="宋体" w:hAnsi="宋体"/>
          <w:szCs w:val="21"/>
        </w:rPr>
        <w:t>/业务章</w:t>
      </w:r>
      <w:r>
        <w:rPr>
          <w:rFonts w:ascii="宋体" w:hAnsi="宋体" w:hint="eastAsia"/>
          <w:szCs w:val="21"/>
        </w:rPr>
        <w:t>的复印件；</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开展金融相关业务资格证明（金融机构作为投资者的</w:t>
      </w:r>
      <w:r>
        <w:rPr>
          <w:rFonts w:ascii="宋体" w:hAnsi="宋体"/>
          <w:szCs w:val="21"/>
        </w:rPr>
        <w:t>）</w:t>
      </w:r>
      <w:r>
        <w:rPr>
          <w:rFonts w:ascii="宋体" w:hAnsi="宋体" w:hint="eastAsia"/>
          <w:szCs w:val="21"/>
        </w:rPr>
        <w:t>；</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法定代表人及被授权人有效身份证明原件或加盖公章</w:t>
      </w:r>
      <w:r>
        <w:rPr>
          <w:rFonts w:ascii="宋体" w:hAnsi="宋体"/>
          <w:szCs w:val="21"/>
        </w:rPr>
        <w:t>/业务章</w:t>
      </w:r>
      <w:r>
        <w:rPr>
          <w:rFonts w:ascii="宋体" w:hAnsi="宋体" w:hint="eastAsia"/>
          <w:szCs w:val="21"/>
        </w:rPr>
        <w:t>的复印件；</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首次提出交易申请时请被授权人填妥的《投资者类型评定及风险能力测评问卷》和《投资人权益须知》并签字和加盖公章</w:t>
      </w:r>
      <w:r>
        <w:rPr>
          <w:rFonts w:ascii="宋体" w:hAnsi="宋体"/>
          <w:szCs w:val="21"/>
        </w:rPr>
        <w:t>/业务章和法定代表人签章/私人签章</w:t>
      </w:r>
      <w:r>
        <w:rPr>
          <w:rFonts w:ascii="宋体" w:hAnsi="宋体" w:hint="eastAsia"/>
          <w:szCs w:val="21"/>
        </w:rPr>
        <w:t>或预留印鉴；</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印鉴卡；</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加盖公章</w:t>
      </w:r>
      <w:r>
        <w:rPr>
          <w:rFonts w:ascii="宋体" w:hAnsi="宋体"/>
          <w:szCs w:val="21"/>
        </w:rPr>
        <w:t>/业务章</w:t>
      </w:r>
      <w:r>
        <w:rPr>
          <w:rFonts w:ascii="宋体" w:hAnsi="宋体" w:hint="eastAsia"/>
          <w:szCs w:val="21"/>
        </w:rPr>
        <w:t>和法定代表人签章</w:t>
      </w:r>
      <w:r>
        <w:rPr>
          <w:rFonts w:ascii="宋体" w:hAnsi="宋体"/>
          <w:szCs w:val="21"/>
        </w:rPr>
        <w:t>/私人签章</w:t>
      </w:r>
      <w:r>
        <w:rPr>
          <w:rFonts w:ascii="宋体" w:hAnsi="宋体" w:hint="eastAsia"/>
          <w:szCs w:val="21"/>
        </w:rPr>
        <w:t>的《业务授权委托书》；</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开户机构的银行账户证明材料的加盖公章</w:t>
      </w:r>
      <w:r>
        <w:rPr>
          <w:rFonts w:ascii="宋体" w:hAnsi="宋体"/>
          <w:szCs w:val="21"/>
        </w:rPr>
        <w:t>/业务章/预留印鉴</w:t>
      </w:r>
      <w:r>
        <w:rPr>
          <w:rFonts w:ascii="宋体" w:hAnsi="宋体" w:hint="eastAsia"/>
          <w:szCs w:val="21"/>
        </w:rPr>
        <w:t>的复印件；</w:t>
      </w:r>
      <w:proofErr w:type="gramStart"/>
      <w:r>
        <w:rPr>
          <w:rFonts w:ascii="宋体" w:hAnsi="宋体" w:hint="eastAsia"/>
          <w:szCs w:val="21"/>
        </w:rPr>
        <w:t>若机构</w:t>
      </w:r>
      <w:proofErr w:type="gramEnd"/>
      <w:r>
        <w:rPr>
          <w:rFonts w:ascii="宋体" w:hAnsi="宋体" w:hint="eastAsia"/>
          <w:szCs w:val="21"/>
        </w:rPr>
        <w:t>客户同一户名对应多个银行账号</w:t>
      </w:r>
      <w:proofErr w:type="gramStart"/>
      <w:r>
        <w:rPr>
          <w:rFonts w:ascii="宋体" w:hAnsi="宋体" w:hint="eastAsia"/>
          <w:szCs w:val="21"/>
        </w:rPr>
        <w:t>打款认</w:t>
      </w:r>
      <w:proofErr w:type="gramEnd"/>
      <w:r>
        <w:rPr>
          <w:rFonts w:ascii="宋体" w:hAnsi="宋体"/>
          <w:szCs w:val="21"/>
        </w:rPr>
        <w:t>/申购</w:t>
      </w:r>
      <w:r>
        <w:rPr>
          <w:rFonts w:ascii="宋体" w:hAnsi="宋体" w:hint="eastAsia"/>
          <w:szCs w:val="21"/>
        </w:rPr>
        <w:t>，应提供相关证明文件，并在账户业务申请表上填写并指定一个银行账户作为唯一的赎回、分红、退款的结算账户；</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填妥并签章的《传真交易协议书》（适用于申请开通传真交易）；</w:t>
      </w:r>
    </w:p>
    <w:p w:rsidR="00F22945" w:rsidRPr="00754935" w:rsidRDefault="00325CE1" w:rsidP="00754935">
      <w:pPr>
        <w:numPr>
          <w:ilvl w:val="0"/>
          <w:numId w:val="5"/>
        </w:numPr>
        <w:tabs>
          <w:tab w:val="left" w:pos="993"/>
        </w:tabs>
        <w:ind w:left="0" w:rightChars="-7" w:right="-15" w:firstLine="426"/>
        <w:rPr>
          <w:rFonts w:ascii="宋体" w:hAnsi="宋体" w:hint="eastAsia"/>
          <w:szCs w:val="21"/>
        </w:rPr>
      </w:pPr>
      <w:r>
        <w:rPr>
          <w:rFonts w:ascii="宋体" w:hAnsi="宋体" w:hint="eastAsia"/>
          <w:szCs w:val="21"/>
        </w:rPr>
        <w:t>填妥并签章的《先锋</w:t>
      </w:r>
      <w:r>
        <w:rPr>
          <w:rFonts w:ascii="宋体" w:hAnsi="宋体"/>
          <w:szCs w:val="21"/>
        </w:rPr>
        <w:t>基金</w:t>
      </w:r>
      <w:r>
        <w:rPr>
          <w:rFonts w:ascii="宋体" w:hAnsi="宋体" w:hint="eastAsia"/>
          <w:szCs w:val="21"/>
        </w:rPr>
        <w:t>管理有限</w:t>
      </w:r>
      <w:r>
        <w:rPr>
          <w:rFonts w:ascii="宋体" w:hAnsi="宋体"/>
          <w:szCs w:val="21"/>
        </w:rPr>
        <w:t>公司</w:t>
      </w:r>
      <w:r>
        <w:rPr>
          <w:rFonts w:ascii="宋体" w:hAnsi="宋体" w:hint="eastAsia"/>
          <w:szCs w:val="21"/>
        </w:rPr>
        <w:t>开放式</w:t>
      </w:r>
      <w:r>
        <w:rPr>
          <w:rFonts w:ascii="宋体" w:hAnsi="宋体"/>
          <w:szCs w:val="21"/>
        </w:rPr>
        <w:t>基金</w:t>
      </w:r>
      <w:r>
        <w:rPr>
          <w:rFonts w:ascii="宋体" w:hAnsi="宋体" w:hint="eastAsia"/>
          <w:szCs w:val="21"/>
        </w:rPr>
        <w:t>机构网上</w:t>
      </w:r>
      <w:r>
        <w:rPr>
          <w:rFonts w:ascii="宋体" w:hAnsi="宋体"/>
          <w:szCs w:val="21"/>
        </w:rPr>
        <w:t>交易服务协议</w:t>
      </w:r>
      <w:r>
        <w:rPr>
          <w:rFonts w:ascii="宋体" w:hAnsi="宋体" w:hint="eastAsia"/>
          <w:szCs w:val="21"/>
        </w:rPr>
        <w:t>》；</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深圳</w:t>
      </w:r>
      <w:r>
        <w:rPr>
          <w:rFonts w:ascii="宋体" w:hAnsi="宋体"/>
          <w:szCs w:val="21"/>
        </w:rPr>
        <w:t>/上海证券账户的证明材料</w:t>
      </w:r>
      <w:r>
        <w:rPr>
          <w:rFonts w:ascii="宋体" w:hAnsi="宋体" w:hint="eastAsia"/>
          <w:szCs w:val="21"/>
        </w:rPr>
        <w:t>原件或复印件加盖公章</w:t>
      </w:r>
      <w:r>
        <w:rPr>
          <w:rFonts w:ascii="宋体" w:hAnsi="宋体"/>
          <w:szCs w:val="21"/>
        </w:rPr>
        <w:t>/业务章</w:t>
      </w:r>
      <w:r>
        <w:rPr>
          <w:rFonts w:ascii="宋体" w:hAnsi="宋体" w:hint="eastAsia"/>
          <w:szCs w:val="21"/>
        </w:rPr>
        <w:t>（若有）（开立深圳</w:t>
      </w:r>
      <w:r>
        <w:rPr>
          <w:rFonts w:ascii="宋体" w:hAnsi="宋体"/>
          <w:szCs w:val="21"/>
        </w:rPr>
        <w:t>/上海开放式基金账户）</w:t>
      </w:r>
      <w:r>
        <w:rPr>
          <w:rFonts w:ascii="宋体" w:hAnsi="宋体" w:hint="eastAsia"/>
          <w:szCs w:val="21"/>
        </w:rPr>
        <w:t>；</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机构投资者旗下产品开户需提交产品批复函</w:t>
      </w:r>
      <w:r>
        <w:rPr>
          <w:rFonts w:ascii="宋体" w:hAnsi="宋体"/>
          <w:szCs w:val="21"/>
        </w:rPr>
        <w:t>(备案相关资料)</w:t>
      </w:r>
      <w:r>
        <w:rPr>
          <w:rFonts w:ascii="宋体" w:hAnsi="宋体" w:hint="eastAsia"/>
          <w:szCs w:val="21"/>
        </w:rPr>
        <w:t>或者机构管理金融产品的资质</w:t>
      </w:r>
      <w:r>
        <w:rPr>
          <w:rFonts w:ascii="宋体" w:hAnsi="宋体"/>
          <w:szCs w:val="21"/>
        </w:rPr>
        <w:t>(资格)证书及</w:t>
      </w:r>
      <w:r>
        <w:rPr>
          <w:rFonts w:ascii="宋体" w:hAnsi="宋体" w:hint="eastAsia"/>
          <w:szCs w:val="21"/>
        </w:rPr>
        <w:t>产品合同（首页、盖章页）的复印件加盖公章</w:t>
      </w:r>
      <w:r>
        <w:rPr>
          <w:rFonts w:ascii="宋体" w:hAnsi="宋体"/>
          <w:szCs w:val="21"/>
        </w:rPr>
        <w:t>/业务章</w:t>
      </w:r>
      <w:r>
        <w:rPr>
          <w:rFonts w:ascii="宋体" w:hAnsi="宋体" w:hint="eastAsia"/>
          <w:szCs w:val="21"/>
        </w:rPr>
        <w:t>；</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金融产品投资</w:t>
      </w:r>
      <w:r>
        <w:rPr>
          <w:rFonts w:ascii="宋体" w:hAnsi="宋体"/>
          <w:szCs w:val="21"/>
        </w:rPr>
        <w:t>、</w:t>
      </w:r>
      <w:r>
        <w:rPr>
          <w:rFonts w:ascii="宋体" w:hAnsi="宋体" w:hint="eastAsia"/>
          <w:szCs w:val="21"/>
        </w:rPr>
        <w:t>管理</w:t>
      </w:r>
      <w:r>
        <w:rPr>
          <w:rFonts w:ascii="宋体" w:hAnsi="宋体"/>
          <w:szCs w:val="21"/>
        </w:rPr>
        <w:t>资格证书；</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最近一年经审计的财务报表</w:t>
      </w:r>
      <w:r>
        <w:rPr>
          <w:rFonts w:ascii="宋体" w:hAnsi="宋体"/>
          <w:szCs w:val="21"/>
        </w:rPr>
        <w:t>及金融资产证明</w:t>
      </w:r>
      <w:r>
        <w:rPr>
          <w:rFonts w:ascii="宋体" w:hAnsi="宋体" w:hint="eastAsia"/>
          <w:szCs w:val="21"/>
        </w:rPr>
        <w:t>（默认</w:t>
      </w:r>
      <w:r>
        <w:rPr>
          <w:rFonts w:ascii="宋体" w:hAnsi="宋体"/>
          <w:szCs w:val="21"/>
        </w:rPr>
        <w:t>专业投资</w:t>
      </w:r>
      <w:r>
        <w:rPr>
          <w:rFonts w:ascii="宋体" w:hAnsi="宋体" w:hint="eastAsia"/>
          <w:szCs w:val="21"/>
        </w:rPr>
        <w:t>者除外</w:t>
      </w:r>
      <w:r>
        <w:rPr>
          <w:rFonts w:ascii="宋体" w:hAnsi="宋体"/>
          <w:szCs w:val="21"/>
        </w:rPr>
        <w:t>，下同）</w:t>
      </w:r>
      <w:r>
        <w:rPr>
          <w:rFonts w:ascii="宋体" w:hAnsi="宋体" w:hint="eastAsia"/>
          <w:szCs w:val="21"/>
        </w:rPr>
        <w:t>；</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投资经历</w:t>
      </w:r>
      <w:r>
        <w:rPr>
          <w:rFonts w:ascii="宋体" w:hAnsi="宋体"/>
          <w:szCs w:val="21"/>
        </w:rPr>
        <w:t>证明文件</w:t>
      </w:r>
      <w:r>
        <w:rPr>
          <w:rFonts w:ascii="宋体" w:hAnsi="宋体" w:hint="eastAsia"/>
          <w:szCs w:val="21"/>
        </w:rPr>
        <w:t>（默认</w:t>
      </w:r>
      <w:r>
        <w:rPr>
          <w:rFonts w:ascii="宋体" w:hAnsi="宋体"/>
          <w:szCs w:val="21"/>
        </w:rPr>
        <w:t>专业投资</w:t>
      </w:r>
      <w:r>
        <w:rPr>
          <w:rFonts w:ascii="宋体" w:hAnsi="宋体" w:hint="eastAsia"/>
          <w:szCs w:val="21"/>
        </w:rPr>
        <w:t>者除外</w:t>
      </w:r>
      <w:r>
        <w:rPr>
          <w:rFonts w:ascii="宋体" w:hAnsi="宋体"/>
          <w:szCs w:val="21"/>
        </w:rPr>
        <w:t>，下同）；</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lastRenderedPageBreak/>
        <w:t>诚信</w:t>
      </w:r>
      <w:r>
        <w:rPr>
          <w:rFonts w:ascii="宋体" w:hAnsi="宋体"/>
          <w:szCs w:val="21"/>
        </w:rPr>
        <w:t>记录证明材料</w:t>
      </w:r>
      <w:r>
        <w:rPr>
          <w:rFonts w:ascii="宋体" w:hAnsi="宋体" w:hint="eastAsia"/>
          <w:szCs w:val="21"/>
        </w:rPr>
        <w:t>；</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税收</w:t>
      </w:r>
      <w:r>
        <w:rPr>
          <w:rFonts w:ascii="宋体" w:hAnsi="宋体"/>
          <w:szCs w:val="21"/>
        </w:rPr>
        <w:t>居民身份</w:t>
      </w:r>
      <w:r>
        <w:rPr>
          <w:rFonts w:ascii="宋体" w:hAnsi="宋体" w:hint="eastAsia"/>
          <w:szCs w:val="21"/>
        </w:rPr>
        <w:t>申明</w:t>
      </w:r>
      <w:r>
        <w:rPr>
          <w:rFonts w:ascii="宋体" w:hAnsi="宋体"/>
          <w:szCs w:val="21"/>
        </w:rPr>
        <w:t>文件</w:t>
      </w:r>
      <w:r>
        <w:rPr>
          <w:rFonts w:ascii="宋体" w:hAnsi="宋体" w:hint="eastAsia"/>
          <w:szCs w:val="21"/>
        </w:rPr>
        <w:t>；</w:t>
      </w:r>
    </w:p>
    <w:p w:rsidR="00F22945" w:rsidRDefault="00325CE1">
      <w:pPr>
        <w:numPr>
          <w:ilvl w:val="0"/>
          <w:numId w:val="5"/>
        </w:numPr>
        <w:tabs>
          <w:tab w:val="left" w:pos="993"/>
        </w:tabs>
        <w:ind w:left="0" w:rightChars="-7" w:right="-15" w:firstLine="426"/>
        <w:rPr>
          <w:rFonts w:ascii="宋体" w:hAnsi="宋体"/>
          <w:szCs w:val="21"/>
        </w:rPr>
      </w:pPr>
      <w:r>
        <w:rPr>
          <w:rFonts w:ascii="宋体" w:hAnsi="宋体" w:hint="eastAsia"/>
          <w:szCs w:val="21"/>
        </w:rPr>
        <w:t>控制</w:t>
      </w:r>
      <w:proofErr w:type="gramStart"/>
      <w:r>
        <w:rPr>
          <w:rFonts w:ascii="宋体" w:hAnsi="宋体" w:hint="eastAsia"/>
          <w:szCs w:val="21"/>
        </w:rPr>
        <w:t>人税收</w:t>
      </w:r>
      <w:proofErr w:type="gramEnd"/>
      <w:r>
        <w:rPr>
          <w:rFonts w:ascii="宋体" w:hAnsi="宋体" w:hint="eastAsia"/>
          <w:szCs w:val="21"/>
        </w:rPr>
        <w:t>居民身份声明文件（如果</w:t>
      </w:r>
      <w:r>
        <w:rPr>
          <w:rFonts w:ascii="宋体" w:hAnsi="宋体"/>
          <w:szCs w:val="21"/>
        </w:rPr>
        <w:t>被识别为消极</w:t>
      </w:r>
      <w:r>
        <w:rPr>
          <w:rFonts w:ascii="宋体" w:hAnsi="宋体" w:hint="eastAsia"/>
          <w:szCs w:val="21"/>
        </w:rPr>
        <w:t>非</w:t>
      </w:r>
      <w:r>
        <w:rPr>
          <w:rFonts w:ascii="宋体" w:hAnsi="宋体"/>
          <w:szCs w:val="21"/>
        </w:rPr>
        <w:t>金融机构）</w:t>
      </w:r>
      <w:r>
        <w:rPr>
          <w:rFonts w:ascii="宋体" w:hAnsi="宋体" w:hint="eastAsia"/>
          <w:szCs w:val="21"/>
        </w:rPr>
        <w:t>。</w:t>
      </w:r>
    </w:p>
    <w:p w:rsidR="00F22945" w:rsidRDefault="00325CE1">
      <w:pPr>
        <w:tabs>
          <w:tab w:val="left" w:pos="993"/>
        </w:tabs>
        <w:ind w:firstLineChars="150" w:firstLine="315"/>
        <w:rPr>
          <w:rFonts w:ascii="宋体" w:hAnsi="宋体" w:cs="Arial"/>
          <w:szCs w:val="21"/>
        </w:rPr>
      </w:pPr>
      <w:r>
        <w:rPr>
          <w:rFonts w:ascii="宋体" w:hAnsi="宋体" w:hint="eastAsia"/>
          <w:szCs w:val="21"/>
        </w:rPr>
        <w:t>（三）</w:t>
      </w:r>
      <w:r>
        <w:rPr>
          <w:rFonts w:ascii="宋体" w:hAnsi="宋体" w:cs="Arial" w:hint="eastAsia"/>
          <w:szCs w:val="21"/>
        </w:rPr>
        <w:t>直销柜台客户认</w:t>
      </w:r>
      <w:r>
        <w:rPr>
          <w:rFonts w:ascii="宋体" w:hAnsi="宋体" w:cs="Arial"/>
          <w:szCs w:val="21"/>
        </w:rPr>
        <w:t>/申购基金</w:t>
      </w:r>
      <w:r>
        <w:rPr>
          <w:rFonts w:ascii="宋体" w:hAnsi="宋体" w:cs="Arial" w:hint="eastAsia"/>
          <w:szCs w:val="21"/>
        </w:rPr>
        <w:t>、专户</w:t>
      </w:r>
    </w:p>
    <w:p w:rsidR="00F22945" w:rsidRDefault="00325CE1">
      <w:pPr>
        <w:numPr>
          <w:ilvl w:val="0"/>
          <w:numId w:val="6"/>
        </w:numPr>
        <w:rPr>
          <w:rFonts w:ascii="宋体" w:hAnsi="宋体" w:cs="宋体"/>
          <w:kern w:val="0"/>
          <w:szCs w:val="21"/>
        </w:rPr>
      </w:pPr>
      <w:r>
        <w:rPr>
          <w:rFonts w:ascii="宋体" w:hAnsi="宋体" w:cs="Arial" w:hint="eastAsia"/>
          <w:szCs w:val="21"/>
        </w:rPr>
        <w:t>个人投资者须提供的材料</w:t>
      </w:r>
      <w:r>
        <w:rPr>
          <w:rFonts w:ascii="宋体" w:hAnsi="宋体" w:cs="宋体" w:hint="eastAsia"/>
          <w:kern w:val="0"/>
          <w:szCs w:val="21"/>
        </w:rPr>
        <w:t>：</w:t>
      </w:r>
    </w:p>
    <w:p w:rsidR="00F22945" w:rsidRDefault="00325CE1">
      <w:pPr>
        <w:numPr>
          <w:ilvl w:val="0"/>
          <w:numId w:val="7"/>
        </w:numPr>
        <w:tabs>
          <w:tab w:val="clear" w:pos="1187"/>
          <w:tab w:val="left" w:pos="780"/>
        </w:tabs>
        <w:ind w:leftChars="-61" w:left="-128" w:rightChars="-7" w:right="-15" w:firstLineChars="200" w:firstLine="420"/>
        <w:rPr>
          <w:rFonts w:ascii="宋体" w:hAnsi="宋体"/>
          <w:szCs w:val="21"/>
        </w:rPr>
      </w:pPr>
      <w:r>
        <w:rPr>
          <w:rFonts w:ascii="宋体" w:hAnsi="宋体" w:hint="eastAsia"/>
          <w:szCs w:val="21"/>
        </w:rPr>
        <w:t>填妥并由投资者签字确认的《交易业务申请表》；</w:t>
      </w:r>
    </w:p>
    <w:p w:rsidR="00F22945" w:rsidRDefault="00325CE1">
      <w:pPr>
        <w:numPr>
          <w:ilvl w:val="0"/>
          <w:numId w:val="7"/>
        </w:numPr>
        <w:tabs>
          <w:tab w:val="clear" w:pos="1187"/>
          <w:tab w:val="left" w:pos="780"/>
        </w:tabs>
        <w:ind w:leftChars="-61" w:left="-128" w:rightChars="-7" w:right="-15" w:firstLineChars="200" w:firstLine="420"/>
        <w:rPr>
          <w:rFonts w:ascii="宋体" w:hAnsi="宋体"/>
          <w:szCs w:val="21"/>
        </w:rPr>
      </w:pPr>
      <w:r>
        <w:rPr>
          <w:rFonts w:ascii="宋体" w:hAnsi="宋体" w:hint="eastAsia"/>
          <w:szCs w:val="21"/>
        </w:rPr>
        <w:t>申请人</w:t>
      </w:r>
      <w:r>
        <w:rPr>
          <w:rFonts w:ascii="宋体" w:hAnsi="宋体"/>
          <w:szCs w:val="21"/>
        </w:rPr>
        <w:t>/代办人有效身份证件原件</w:t>
      </w:r>
      <w:r>
        <w:rPr>
          <w:rFonts w:ascii="宋体" w:hAnsi="宋体" w:hint="eastAsia"/>
          <w:szCs w:val="21"/>
        </w:rPr>
        <w:t>或复印件（代办需申请人签字）；</w:t>
      </w:r>
    </w:p>
    <w:p w:rsidR="00F22945" w:rsidRDefault="00325CE1">
      <w:pPr>
        <w:numPr>
          <w:ilvl w:val="0"/>
          <w:numId w:val="7"/>
        </w:numPr>
        <w:tabs>
          <w:tab w:val="clear" w:pos="1187"/>
          <w:tab w:val="left" w:pos="780"/>
        </w:tabs>
        <w:ind w:leftChars="-61" w:left="-128" w:rightChars="-7" w:right="-15" w:firstLineChars="200" w:firstLine="420"/>
        <w:rPr>
          <w:rFonts w:ascii="宋体" w:hAnsi="宋体"/>
          <w:szCs w:val="21"/>
        </w:rPr>
      </w:pPr>
      <w:r>
        <w:rPr>
          <w:rFonts w:ascii="宋体" w:hAnsi="宋体" w:hint="eastAsia"/>
          <w:szCs w:val="21"/>
        </w:rPr>
        <w:t>有效的银行划款回单；</w:t>
      </w:r>
    </w:p>
    <w:p w:rsidR="00F22945" w:rsidRDefault="00325CE1">
      <w:pPr>
        <w:numPr>
          <w:ilvl w:val="0"/>
          <w:numId w:val="7"/>
        </w:numPr>
        <w:tabs>
          <w:tab w:val="clear" w:pos="1187"/>
          <w:tab w:val="left" w:pos="780"/>
        </w:tabs>
        <w:ind w:leftChars="-61" w:left="-128" w:rightChars="-7" w:right="-15" w:firstLineChars="200" w:firstLine="420"/>
        <w:rPr>
          <w:rFonts w:ascii="宋体" w:hAnsi="宋体"/>
          <w:szCs w:val="21"/>
        </w:rPr>
      </w:pPr>
      <w:bookmarkStart w:id="7" w:name="OLE_LINK17"/>
      <w:bookmarkStart w:id="8" w:name="OLE_LINK18"/>
      <w:r>
        <w:rPr>
          <w:rFonts w:ascii="宋体" w:hAnsi="宋体" w:hint="eastAsia"/>
          <w:szCs w:val="21"/>
        </w:rPr>
        <w:t>委托他人代办的，须提供经申请人签字确认并经公证处公证的《业务授权委托书》；</w:t>
      </w:r>
    </w:p>
    <w:p w:rsidR="00F22945" w:rsidRDefault="00325CE1">
      <w:pPr>
        <w:numPr>
          <w:ilvl w:val="0"/>
          <w:numId w:val="7"/>
        </w:numPr>
        <w:tabs>
          <w:tab w:val="clear" w:pos="1187"/>
          <w:tab w:val="left" w:pos="780"/>
        </w:tabs>
        <w:ind w:leftChars="-61" w:left="-128" w:rightChars="-7" w:right="-15" w:firstLineChars="200" w:firstLine="420"/>
        <w:rPr>
          <w:rFonts w:ascii="宋体" w:hAnsi="宋体"/>
          <w:szCs w:val="21"/>
        </w:rPr>
      </w:pPr>
      <w:r>
        <w:rPr>
          <w:rFonts w:ascii="宋体" w:hAnsi="宋体" w:hint="eastAsia"/>
          <w:szCs w:val="21"/>
        </w:rPr>
        <w:t>专</w:t>
      </w:r>
      <w:proofErr w:type="gramStart"/>
      <w:r>
        <w:rPr>
          <w:rFonts w:ascii="宋体" w:hAnsi="宋体" w:hint="eastAsia"/>
          <w:szCs w:val="21"/>
        </w:rPr>
        <w:t>户合同</w:t>
      </w:r>
      <w:proofErr w:type="gramEnd"/>
      <w:r>
        <w:rPr>
          <w:rFonts w:ascii="宋体" w:hAnsi="宋体" w:hint="eastAsia"/>
          <w:szCs w:val="21"/>
        </w:rPr>
        <w:t>原件或签署页（包括</w:t>
      </w:r>
      <w:r>
        <w:rPr>
          <w:rFonts w:ascii="宋体" w:hAnsi="宋体"/>
          <w:szCs w:val="21"/>
        </w:rPr>
        <w:t>但不限于</w:t>
      </w:r>
      <w:r>
        <w:rPr>
          <w:rFonts w:ascii="宋体" w:hAnsi="宋体" w:hint="eastAsia"/>
          <w:szCs w:val="21"/>
        </w:rPr>
        <w:t>合同首页、承诺函、申请表、签署页）复印件（适用于购买专户产品）；</w:t>
      </w:r>
    </w:p>
    <w:p w:rsidR="00F22945" w:rsidRPr="00754935" w:rsidRDefault="00325CE1" w:rsidP="00754935">
      <w:pPr>
        <w:numPr>
          <w:ilvl w:val="0"/>
          <w:numId w:val="7"/>
        </w:numPr>
        <w:tabs>
          <w:tab w:val="clear" w:pos="1187"/>
          <w:tab w:val="left" w:pos="780"/>
        </w:tabs>
        <w:ind w:leftChars="-61" w:left="-128" w:rightChars="-7" w:right="-15" w:firstLineChars="200" w:firstLine="420"/>
        <w:rPr>
          <w:rFonts w:ascii="宋体" w:hAnsi="宋体" w:hint="eastAsia"/>
          <w:szCs w:val="21"/>
        </w:rPr>
      </w:pPr>
      <w:r>
        <w:rPr>
          <w:rFonts w:ascii="宋体" w:hAnsi="宋体" w:hint="eastAsia"/>
          <w:szCs w:val="21"/>
        </w:rPr>
        <w:t>经</w:t>
      </w:r>
      <w:r>
        <w:rPr>
          <w:rFonts w:ascii="宋体" w:hAnsi="宋体"/>
          <w:szCs w:val="21"/>
        </w:rPr>
        <w:t>签署的</w:t>
      </w:r>
      <w:r>
        <w:rPr>
          <w:rFonts w:ascii="宋体" w:hAnsi="宋体" w:hint="eastAsia"/>
          <w:szCs w:val="21"/>
        </w:rPr>
        <w:t>《销售适当性不匹配风险警示书》（如果</w:t>
      </w:r>
      <w:r>
        <w:rPr>
          <w:rFonts w:ascii="宋体" w:hAnsi="宋体"/>
          <w:szCs w:val="21"/>
        </w:rPr>
        <w:t>投资者</w:t>
      </w:r>
      <w:r>
        <w:rPr>
          <w:rFonts w:ascii="宋体" w:hAnsi="宋体" w:hint="eastAsia"/>
          <w:szCs w:val="21"/>
        </w:rPr>
        <w:t>购买</w:t>
      </w:r>
      <w:r>
        <w:rPr>
          <w:rFonts w:ascii="宋体" w:hAnsi="宋体"/>
          <w:szCs w:val="21"/>
        </w:rPr>
        <w:t>超过自身风险承受能力的产品</w:t>
      </w:r>
      <w:r>
        <w:rPr>
          <w:rFonts w:ascii="宋体" w:hAnsi="宋体" w:hint="eastAsia"/>
          <w:szCs w:val="21"/>
        </w:rPr>
        <w:t>，</w:t>
      </w:r>
      <w:r>
        <w:rPr>
          <w:rFonts w:ascii="宋体" w:hAnsi="宋体"/>
          <w:szCs w:val="21"/>
        </w:rPr>
        <w:t>最低风险</w:t>
      </w:r>
      <w:r>
        <w:rPr>
          <w:rFonts w:ascii="宋体" w:hAnsi="宋体" w:hint="eastAsia"/>
          <w:szCs w:val="21"/>
        </w:rPr>
        <w:t>等级</w:t>
      </w:r>
      <w:r>
        <w:rPr>
          <w:rFonts w:ascii="宋体" w:hAnsi="宋体"/>
          <w:szCs w:val="21"/>
        </w:rPr>
        <w:t>产品或最低</w:t>
      </w:r>
      <w:r>
        <w:rPr>
          <w:rFonts w:ascii="宋体" w:hAnsi="宋体" w:hint="eastAsia"/>
          <w:szCs w:val="21"/>
        </w:rPr>
        <w:t>风险</w:t>
      </w:r>
      <w:r>
        <w:rPr>
          <w:rFonts w:ascii="宋体" w:hAnsi="宋体"/>
          <w:szCs w:val="21"/>
        </w:rPr>
        <w:t>承受</w:t>
      </w:r>
      <w:r>
        <w:rPr>
          <w:rFonts w:ascii="宋体" w:hAnsi="宋体" w:hint="eastAsia"/>
          <w:szCs w:val="21"/>
        </w:rPr>
        <w:t>投资者</w:t>
      </w:r>
      <w:r>
        <w:rPr>
          <w:rFonts w:ascii="宋体" w:hAnsi="宋体"/>
          <w:szCs w:val="21"/>
        </w:rPr>
        <w:t>除外）</w:t>
      </w:r>
      <w:r>
        <w:rPr>
          <w:rFonts w:ascii="宋体" w:hAnsi="宋体" w:hint="eastAsia"/>
          <w:szCs w:val="21"/>
        </w:rPr>
        <w:t>；</w:t>
      </w:r>
    </w:p>
    <w:bookmarkEnd w:id="7"/>
    <w:bookmarkEnd w:id="8"/>
    <w:p w:rsidR="00F22945" w:rsidRDefault="00325CE1">
      <w:pPr>
        <w:numPr>
          <w:ilvl w:val="0"/>
          <w:numId w:val="6"/>
        </w:numPr>
        <w:rPr>
          <w:rFonts w:ascii="宋体" w:hAnsi="宋体" w:cs="Arial"/>
          <w:szCs w:val="21"/>
        </w:rPr>
      </w:pPr>
      <w:r>
        <w:rPr>
          <w:rFonts w:ascii="宋体" w:hAnsi="宋体" w:cs="Arial" w:hint="eastAsia"/>
          <w:szCs w:val="21"/>
        </w:rPr>
        <w:t>机构投资者须提供的材料：</w:t>
      </w:r>
    </w:p>
    <w:p w:rsidR="00F22945" w:rsidRDefault="00325CE1">
      <w:pPr>
        <w:numPr>
          <w:ilvl w:val="0"/>
          <w:numId w:val="8"/>
        </w:numPr>
        <w:ind w:left="0" w:rightChars="-7" w:right="-15" w:firstLineChars="118" w:firstLine="248"/>
        <w:rPr>
          <w:rFonts w:ascii="宋体" w:hAnsi="宋体"/>
          <w:szCs w:val="21"/>
        </w:rPr>
      </w:pPr>
      <w:r>
        <w:rPr>
          <w:rFonts w:ascii="宋体" w:hAnsi="宋体" w:hint="eastAsia"/>
          <w:szCs w:val="21"/>
        </w:rPr>
        <w:t>填妥并由投资者加盖公章</w:t>
      </w:r>
      <w:r>
        <w:rPr>
          <w:rFonts w:ascii="宋体" w:hAnsi="宋体"/>
          <w:szCs w:val="21"/>
        </w:rPr>
        <w:t>/业务章</w:t>
      </w:r>
      <w:r>
        <w:rPr>
          <w:rFonts w:ascii="宋体" w:hAnsi="宋体" w:hint="eastAsia"/>
          <w:szCs w:val="21"/>
        </w:rPr>
        <w:t>和法定代表人签章</w:t>
      </w:r>
      <w:r>
        <w:rPr>
          <w:rFonts w:ascii="宋体" w:hAnsi="宋体"/>
          <w:szCs w:val="21"/>
        </w:rPr>
        <w:t>/私人签章</w:t>
      </w:r>
      <w:r>
        <w:rPr>
          <w:rFonts w:ascii="宋体" w:hAnsi="宋体" w:hint="eastAsia"/>
          <w:szCs w:val="21"/>
        </w:rPr>
        <w:t>或预留印鉴章的《交易业务申请表》；</w:t>
      </w:r>
    </w:p>
    <w:p w:rsidR="00F22945" w:rsidRDefault="00325CE1">
      <w:pPr>
        <w:numPr>
          <w:ilvl w:val="0"/>
          <w:numId w:val="8"/>
        </w:numPr>
        <w:ind w:left="0" w:rightChars="-7" w:right="-15" w:firstLineChars="118" w:firstLine="248"/>
        <w:rPr>
          <w:rFonts w:ascii="宋体" w:hAnsi="宋体"/>
          <w:szCs w:val="21"/>
        </w:rPr>
      </w:pPr>
      <w:r>
        <w:rPr>
          <w:rFonts w:ascii="宋体" w:hAnsi="宋体" w:hint="eastAsia"/>
          <w:szCs w:val="21"/>
        </w:rPr>
        <w:t>有效的银行回单或机构划款指令或凭证；</w:t>
      </w:r>
    </w:p>
    <w:p w:rsidR="00F22945" w:rsidRDefault="00325CE1">
      <w:pPr>
        <w:numPr>
          <w:ilvl w:val="0"/>
          <w:numId w:val="8"/>
        </w:numPr>
        <w:ind w:left="0" w:rightChars="-7" w:right="-15" w:firstLineChars="118" w:firstLine="248"/>
        <w:rPr>
          <w:rFonts w:ascii="宋体" w:hAnsi="宋体"/>
          <w:szCs w:val="21"/>
        </w:rPr>
      </w:pPr>
      <w:r>
        <w:rPr>
          <w:rFonts w:ascii="宋体" w:hAnsi="宋体" w:hint="eastAsia"/>
          <w:szCs w:val="21"/>
        </w:rPr>
        <w:t>专</w:t>
      </w:r>
      <w:proofErr w:type="gramStart"/>
      <w:r>
        <w:rPr>
          <w:rFonts w:ascii="宋体" w:hAnsi="宋体" w:hint="eastAsia"/>
          <w:szCs w:val="21"/>
        </w:rPr>
        <w:t>户合同</w:t>
      </w:r>
      <w:proofErr w:type="gramEnd"/>
      <w:r>
        <w:rPr>
          <w:rFonts w:ascii="宋体" w:hAnsi="宋体" w:hint="eastAsia"/>
          <w:szCs w:val="21"/>
        </w:rPr>
        <w:t>原件或签署页（包括</w:t>
      </w:r>
      <w:r>
        <w:rPr>
          <w:rFonts w:ascii="宋体" w:hAnsi="宋体"/>
          <w:szCs w:val="21"/>
        </w:rPr>
        <w:t>但不限于</w:t>
      </w:r>
      <w:r>
        <w:rPr>
          <w:rFonts w:ascii="宋体" w:hAnsi="宋体" w:hint="eastAsia"/>
          <w:szCs w:val="21"/>
        </w:rPr>
        <w:t>合同首页、承诺函、申请表、签署页）复印件（适用于购买专户产品）；</w:t>
      </w:r>
    </w:p>
    <w:p w:rsidR="00F22945" w:rsidRPr="00754935" w:rsidRDefault="00325CE1" w:rsidP="00754935">
      <w:pPr>
        <w:numPr>
          <w:ilvl w:val="0"/>
          <w:numId w:val="8"/>
        </w:numPr>
        <w:ind w:left="0" w:rightChars="-7" w:right="-15" w:firstLineChars="118" w:firstLine="248"/>
        <w:rPr>
          <w:rFonts w:ascii="宋体" w:hAnsi="宋体" w:hint="eastAsia"/>
          <w:szCs w:val="21"/>
        </w:rPr>
      </w:pPr>
      <w:r>
        <w:rPr>
          <w:rFonts w:ascii="宋体" w:hAnsi="宋体" w:hint="eastAsia"/>
          <w:szCs w:val="21"/>
        </w:rPr>
        <w:t>经</w:t>
      </w:r>
      <w:r>
        <w:rPr>
          <w:rFonts w:ascii="宋体" w:hAnsi="宋体"/>
          <w:szCs w:val="21"/>
        </w:rPr>
        <w:t>签</w:t>
      </w:r>
      <w:r>
        <w:rPr>
          <w:rFonts w:ascii="宋体" w:hAnsi="宋体" w:hint="eastAsia"/>
          <w:szCs w:val="21"/>
        </w:rPr>
        <w:t>章</w:t>
      </w:r>
      <w:r>
        <w:rPr>
          <w:rFonts w:ascii="宋体" w:hAnsi="宋体"/>
          <w:szCs w:val="21"/>
        </w:rPr>
        <w:t>的</w:t>
      </w:r>
      <w:r>
        <w:rPr>
          <w:rFonts w:ascii="宋体" w:hAnsi="宋体" w:hint="eastAsia"/>
          <w:szCs w:val="21"/>
        </w:rPr>
        <w:t>《销售适当性不匹配风险警示书》（如果</w:t>
      </w:r>
      <w:r>
        <w:rPr>
          <w:rFonts w:ascii="宋体" w:hAnsi="宋体"/>
          <w:szCs w:val="21"/>
        </w:rPr>
        <w:t>投资者</w:t>
      </w:r>
      <w:r>
        <w:rPr>
          <w:rFonts w:ascii="宋体" w:hAnsi="宋体" w:hint="eastAsia"/>
          <w:szCs w:val="21"/>
        </w:rPr>
        <w:t>购买</w:t>
      </w:r>
      <w:r>
        <w:rPr>
          <w:rFonts w:ascii="宋体" w:hAnsi="宋体"/>
          <w:szCs w:val="21"/>
        </w:rPr>
        <w:t>超过自身风险承受能力的产品</w:t>
      </w:r>
      <w:r>
        <w:rPr>
          <w:rFonts w:ascii="宋体" w:hAnsi="宋体" w:hint="eastAsia"/>
          <w:szCs w:val="21"/>
        </w:rPr>
        <w:t>，</w:t>
      </w:r>
      <w:r>
        <w:rPr>
          <w:rFonts w:ascii="宋体" w:hAnsi="宋体"/>
          <w:szCs w:val="21"/>
        </w:rPr>
        <w:t>最低风险</w:t>
      </w:r>
      <w:r>
        <w:rPr>
          <w:rFonts w:ascii="宋体" w:hAnsi="宋体" w:hint="eastAsia"/>
          <w:szCs w:val="21"/>
        </w:rPr>
        <w:t>等级</w:t>
      </w:r>
      <w:r>
        <w:rPr>
          <w:rFonts w:ascii="宋体" w:hAnsi="宋体"/>
          <w:szCs w:val="21"/>
        </w:rPr>
        <w:t>产品或最低</w:t>
      </w:r>
      <w:r>
        <w:rPr>
          <w:rFonts w:ascii="宋体" w:hAnsi="宋体" w:hint="eastAsia"/>
          <w:szCs w:val="21"/>
        </w:rPr>
        <w:t>风险</w:t>
      </w:r>
      <w:r>
        <w:rPr>
          <w:rFonts w:ascii="宋体" w:hAnsi="宋体"/>
          <w:szCs w:val="21"/>
        </w:rPr>
        <w:t>承受</w:t>
      </w:r>
      <w:r>
        <w:rPr>
          <w:rFonts w:ascii="宋体" w:hAnsi="宋体" w:hint="eastAsia"/>
          <w:szCs w:val="21"/>
        </w:rPr>
        <w:t>投资者</w:t>
      </w:r>
      <w:r>
        <w:rPr>
          <w:rFonts w:ascii="宋体" w:hAnsi="宋体"/>
          <w:szCs w:val="21"/>
        </w:rPr>
        <w:t>除外）</w:t>
      </w:r>
      <w:r>
        <w:rPr>
          <w:rFonts w:ascii="宋体" w:hAnsi="宋体" w:hint="eastAsia"/>
          <w:szCs w:val="21"/>
        </w:rPr>
        <w:t>；</w:t>
      </w:r>
      <w:bookmarkStart w:id="9" w:name="_GoBack"/>
      <w:bookmarkEnd w:id="9"/>
    </w:p>
    <w:p w:rsidR="00F22945" w:rsidRDefault="00325CE1">
      <w:pPr>
        <w:numPr>
          <w:ilvl w:val="0"/>
          <w:numId w:val="6"/>
        </w:numPr>
        <w:rPr>
          <w:rFonts w:ascii="宋体" w:hAnsi="宋体" w:cs="Arial"/>
          <w:szCs w:val="21"/>
        </w:rPr>
      </w:pPr>
      <w:r>
        <w:rPr>
          <w:rFonts w:ascii="宋体" w:hAnsi="宋体" w:cs="Arial" w:hint="eastAsia"/>
          <w:szCs w:val="21"/>
        </w:rPr>
        <w:t>注意事项：</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hint="eastAsia"/>
          <w:szCs w:val="21"/>
        </w:rPr>
        <w:t>公司应该告知</w:t>
      </w:r>
      <w:r>
        <w:rPr>
          <w:rFonts w:ascii="宋体" w:hAnsi="宋体"/>
          <w:szCs w:val="21"/>
        </w:rPr>
        <w:t>投资者</w:t>
      </w:r>
      <w:r>
        <w:rPr>
          <w:rFonts w:ascii="宋体" w:hAnsi="宋体" w:hint="eastAsia"/>
          <w:szCs w:val="21"/>
        </w:rPr>
        <w:t>其</w:t>
      </w:r>
      <w:r>
        <w:rPr>
          <w:rFonts w:ascii="宋体" w:hAnsi="宋体"/>
          <w:szCs w:val="21"/>
        </w:rPr>
        <w:t>风险能力</w:t>
      </w:r>
      <w:r>
        <w:rPr>
          <w:rFonts w:ascii="宋体" w:hAnsi="宋体" w:hint="eastAsia"/>
          <w:szCs w:val="21"/>
        </w:rPr>
        <w:t>承受</w:t>
      </w:r>
      <w:r>
        <w:rPr>
          <w:rFonts w:ascii="宋体" w:hAnsi="宋体"/>
          <w:szCs w:val="21"/>
        </w:rPr>
        <w:t>水平</w:t>
      </w:r>
      <w:r>
        <w:rPr>
          <w:rFonts w:ascii="宋体" w:hAnsi="宋体" w:hint="eastAsia"/>
          <w:szCs w:val="21"/>
        </w:rPr>
        <w:t>，</w:t>
      </w:r>
      <w:r>
        <w:rPr>
          <w:rFonts w:ascii="宋体" w:hAnsi="宋体"/>
          <w:szCs w:val="21"/>
        </w:rPr>
        <w:t>打算购买产品的风险等级</w:t>
      </w:r>
      <w:r>
        <w:rPr>
          <w:rFonts w:ascii="宋体" w:hAnsi="宋体" w:hint="eastAsia"/>
          <w:szCs w:val="21"/>
        </w:rPr>
        <w:t>，</w:t>
      </w:r>
      <w:r>
        <w:rPr>
          <w:rFonts w:ascii="宋体" w:hAnsi="宋体"/>
          <w:szCs w:val="21"/>
        </w:rPr>
        <w:t>以及</w:t>
      </w:r>
      <w:r>
        <w:rPr>
          <w:rFonts w:ascii="宋体" w:hAnsi="宋体" w:hint="eastAsia"/>
          <w:szCs w:val="21"/>
        </w:rPr>
        <w:t>公司</w:t>
      </w:r>
      <w:r>
        <w:rPr>
          <w:rFonts w:ascii="宋体" w:hAnsi="宋体"/>
          <w:szCs w:val="21"/>
        </w:rPr>
        <w:t>的适当性匹配意见</w:t>
      </w:r>
      <w:r>
        <w:rPr>
          <w:rFonts w:ascii="宋体" w:hAnsi="宋体" w:hint="eastAsia"/>
          <w:szCs w:val="21"/>
        </w:rPr>
        <w:t xml:space="preserve">。 </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hint="eastAsia"/>
          <w:szCs w:val="21"/>
        </w:rPr>
        <w:t>直销录入员受理的基金交易业务申请并不表示对该业务申请的确认，应以基金注册登记机构确认为准；</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hint="eastAsia"/>
          <w:szCs w:val="21"/>
        </w:rPr>
        <w:t>直销录入员</w:t>
      </w:r>
      <w:r>
        <w:rPr>
          <w:rFonts w:ascii="宋体" w:hAnsi="宋体"/>
          <w:szCs w:val="21"/>
        </w:rPr>
        <w:t>15：00（认购期</w:t>
      </w:r>
      <w:r>
        <w:rPr>
          <w:rFonts w:ascii="宋体" w:hAnsi="宋体" w:hint="eastAsia"/>
          <w:szCs w:val="21"/>
        </w:rPr>
        <w:t>的开户及认购申请为</w:t>
      </w:r>
      <w:r>
        <w:rPr>
          <w:rFonts w:ascii="宋体" w:hAnsi="宋体"/>
          <w:szCs w:val="21"/>
        </w:rPr>
        <w:t>17：00</w:t>
      </w:r>
      <w:r>
        <w:rPr>
          <w:rFonts w:ascii="宋体" w:hAnsi="宋体" w:hint="eastAsia"/>
          <w:szCs w:val="21"/>
        </w:rPr>
        <w:t>）以后受理的申请视同下一交易日的申请。如果证券交易所调整交易时间，则接单截止时间以证券交易所当天的闭市时间为准；</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hint="eastAsia"/>
          <w:szCs w:val="21"/>
        </w:rPr>
        <w:t>只有当投资者在规定的时间内有足额认</w:t>
      </w:r>
      <w:r>
        <w:rPr>
          <w:rFonts w:ascii="宋体" w:hAnsi="宋体"/>
          <w:szCs w:val="21"/>
        </w:rPr>
        <w:t>/申购款项到达公司的直销账户后,对应的认/申购业务才能确认成功；</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hint="eastAsia"/>
          <w:szCs w:val="21"/>
        </w:rPr>
        <w:t>如果投资者从未在直销机构填写《投资者类型评定及风险能力测评问卷》，须完成问卷后方可提交认</w:t>
      </w:r>
      <w:r>
        <w:rPr>
          <w:rFonts w:ascii="宋体" w:hAnsi="宋体"/>
          <w:szCs w:val="21"/>
        </w:rPr>
        <w:t>/申购</w:t>
      </w:r>
      <w:r>
        <w:rPr>
          <w:rFonts w:ascii="宋体" w:hAnsi="宋体" w:hint="eastAsia"/>
          <w:szCs w:val="21"/>
        </w:rPr>
        <w:t>申请。投资者须确认自身的风险承受</w:t>
      </w:r>
      <w:proofErr w:type="gramStart"/>
      <w:r>
        <w:rPr>
          <w:rFonts w:ascii="宋体" w:hAnsi="宋体" w:hint="eastAsia"/>
          <w:szCs w:val="21"/>
        </w:rPr>
        <w:t>能力与认</w:t>
      </w:r>
      <w:proofErr w:type="gramEnd"/>
      <w:r>
        <w:rPr>
          <w:rFonts w:ascii="宋体" w:hAnsi="宋体"/>
          <w:szCs w:val="21"/>
        </w:rPr>
        <w:t>/申购基金的风险等级相匹配，如不匹配，投资者在《交易业务申请表》签字（盖章）则代表已了解投资基金的风险，并愿意承担由此带来的风险</w:t>
      </w:r>
      <w:r>
        <w:rPr>
          <w:rFonts w:ascii="宋体" w:hAnsi="宋体" w:hint="eastAsia"/>
          <w:szCs w:val="21"/>
        </w:rPr>
        <w:t>；</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hint="eastAsia"/>
          <w:szCs w:val="21"/>
        </w:rPr>
        <w:t>机构投资者若在直销柜台通过传真的委托方式进行有关业务的办理，需与本公司签订《传真交易协议书》；</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hint="eastAsia"/>
          <w:szCs w:val="21"/>
        </w:rPr>
        <w:t>公司</w:t>
      </w:r>
      <w:r>
        <w:rPr>
          <w:rFonts w:ascii="宋体" w:hAnsi="宋体"/>
          <w:szCs w:val="21"/>
        </w:rPr>
        <w:t>在向普通投资者销售高风险等级的基金产品或者服务时，应向其完整揭示以下事项</w:t>
      </w:r>
      <w:r>
        <w:rPr>
          <w:rFonts w:ascii="宋体" w:hAnsi="宋体" w:hint="eastAsia"/>
          <w:szCs w:val="21"/>
        </w:rPr>
        <w:t>：</w:t>
      </w:r>
    </w:p>
    <w:p w:rsidR="00F22945" w:rsidRDefault="00325CE1">
      <w:pPr>
        <w:pStyle w:val="12"/>
        <w:numPr>
          <w:ilvl w:val="0"/>
          <w:numId w:val="10"/>
        </w:numPr>
        <w:tabs>
          <w:tab w:val="left" w:pos="828"/>
        </w:tabs>
        <w:spacing w:line="240" w:lineRule="auto"/>
        <w:ind w:rightChars="-15" w:right="-31" w:firstLineChars="0"/>
        <w:rPr>
          <w:rFonts w:ascii="宋体" w:eastAsia="宋体" w:hAnsi="宋体" w:cs="Times New Roman"/>
          <w:kern w:val="2"/>
          <w:sz w:val="21"/>
          <w:szCs w:val="21"/>
        </w:rPr>
      </w:pPr>
      <w:r>
        <w:rPr>
          <w:rFonts w:ascii="宋体" w:eastAsia="宋体" w:hAnsi="宋体" w:cs="Times New Roman" w:hint="eastAsia"/>
          <w:kern w:val="2"/>
          <w:sz w:val="21"/>
          <w:szCs w:val="21"/>
        </w:rPr>
        <w:t>基金产品或者服务的详细信息、重点特性和风险；</w:t>
      </w:r>
    </w:p>
    <w:p w:rsidR="00F22945" w:rsidRDefault="00325CE1">
      <w:pPr>
        <w:pStyle w:val="12"/>
        <w:numPr>
          <w:ilvl w:val="0"/>
          <w:numId w:val="10"/>
        </w:numPr>
        <w:tabs>
          <w:tab w:val="left" w:pos="828"/>
        </w:tabs>
        <w:spacing w:line="240" w:lineRule="auto"/>
        <w:ind w:rightChars="-15" w:right="-31" w:firstLineChars="0"/>
        <w:rPr>
          <w:rFonts w:ascii="宋体" w:eastAsia="宋体" w:hAnsi="宋体" w:cs="Times New Roman"/>
          <w:kern w:val="2"/>
          <w:sz w:val="21"/>
          <w:szCs w:val="21"/>
        </w:rPr>
      </w:pPr>
      <w:r>
        <w:rPr>
          <w:rFonts w:ascii="宋体" w:eastAsia="宋体" w:hAnsi="宋体" w:cs="Times New Roman" w:hint="eastAsia"/>
          <w:kern w:val="2"/>
          <w:sz w:val="21"/>
          <w:szCs w:val="21"/>
        </w:rPr>
        <w:t>基金产品或者服务的主要费用、费率及重要权利、</w:t>
      </w:r>
      <w:r>
        <w:rPr>
          <w:rFonts w:ascii="宋体" w:eastAsia="宋体" w:hAnsi="宋体" w:cs="Times New Roman"/>
          <w:kern w:val="2"/>
          <w:sz w:val="21"/>
          <w:szCs w:val="21"/>
        </w:rPr>
        <w:t xml:space="preserve"> </w:t>
      </w:r>
      <w:r>
        <w:rPr>
          <w:rFonts w:ascii="宋体" w:eastAsia="宋体" w:hAnsi="宋体" w:cs="Times New Roman" w:hint="eastAsia"/>
          <w:kern w:val="2"/>
          <w:sz w:val="21"/>
          <w:szCs w:val="21"/>
        </w:rPr>
        <w:t>信息披露内容、方式及频率；</w:t>
      </w:r>
    </w:p>
    <w:p w:rsidR="00F22945" w:rsidRDefault="00325CE1">
      <w:pPr>
        <w:pStyle w:val="12"/>
        <w:numPr>
          <w:ilvl w:val="0"/>
          <w:numId w:val="10"/>
        </w:numPr>
        <w:tabs>
          <w:tab w:val="left" w:pos="828"/>
        </w:tabs>
        <w:spacing w:line="240" w:lineRule="auto"/>
        <w:ind w:rightChars="-15" w:right="-31" w:firstLineChars="0"/>
        <w:rPr>
          <w:rFonts w:ascii="宋体" w:eastAsia="宋体" w:hAnsi="宋体" w:cs="Times New Roman"/>
          <w:kern w:val="2"/>
          <w:sz w:val="21"/>
          <w:szCs w:val="21"/>
        </w:rPr>
      </w:pPr>
      <w:r>
        <w:rPr>
          <w:rFonts w:ascii="宋体" w:eastAsia="宋体" w:hAnsi="宋体" w:cs="Times New Roman" w:hint="eastAsia"/>
          <w:kern w:val="2"/>
          <w:sz w:val="21"/>
          <w:szCs w:val="21"/>
        </w:rPr>
        <w:t>普通投资者的相关权利，例如投资冷静期和回访</w:t>
      </w:r>
      <w:r>
        <w:rPr>
          <w:rFonts w:ascii="宋体" w:eastAsia="宋体" w:hAnsi="宋体" w:cs="Times New Roman"/>
          <w:kern w:val="2"/>
          <w:sz w:val="21"/>
          <w:szCs w:val="21"/>
        </w:rPr>
        <w:t xml:space="preserve"> </w:t>
      </w:r>
      <w:r>
        <w:rPr>
          <w:rFonts w:ascii="宋体" w:eastAsia="宋体" w:hAnsi="宋体" w:cs="Times New Roman" w:hint="eastAsia"/>
          <w:kern w:val="2"/>
          <w:sz w:val="21"/>
          <w:szCs w:val="21"/>
        </w:rPr>
        <w:t>确认等程序性安排；</w:t>
      </w:r>
    </w:p>
    <w:p w:rsidR="00F22945" w:rsidRDefault="00325CE1">
      <w:pPr>
        <w:pStyle w:val="12"/>
        <w:numPr>
          <w:ilvl w:val="0"/>
          <w:numId w:val="10"/>
        </w:numPr>
        <w:tabs>
          <w:tab w:val="left" w:pos="828"/>
        </w:tabs>
        <w:spacing w:line="240" w:lineRule="auto"/>
        <w:ind w:rightChars="-15" w:right="-31" w:firstLineChars="0"/>
        <w:rPr>
          <w:rFonts w:ascii="宋体" w:eastAsia="宋体" w:hAnsi="宋体" w:cs="Times New Roman"/>
          <w:kern w:val="2"/>
          <w:sz w:val="21"/>
          <w:szCs w:val="21"/>
        </w:rPr>
      </w:pPr>
      <w:r>
        <w:rPr>
          <w:rFonts w:ascii="宋体" w:eastAsia="宋体" w:hAnsi="宋体" w:cs="Times New Roman" w:hint="eastAsia"/>
          <w:kern w:val="2"/>
          <w:sz w:val="21"/>
          <w:szCs w:val="21"/>
        </w:rPr>
        <w:t>普通投资者可能承担的损失；</w:t>
      </w:r>
    </w:p>
    <w:p w:rsidR="00F22945" w:rsidRDefault="00325CE1">
      <w:pPr>
        <w:pStyle w:val="12"/>
        <w:numPr>
          <w:ilvl w:val="0"/>
          <w:numId w:val="10"/>
        </w:numPr>
        <w:tabs>
          <w:tab w:val="left" w:pos="828"/>
        </w:tabs>
        <w:spacing w:line="240" w:lineRule="auto"/>
        <w:ind w:rightChars="-15" w:right="-31" w:firstLineChars="0"/>
        <w:rPr>
          <w:rFonts w:ascii="宋体" w:eastAsia="宋体" w:hAnsi="宋体" w:cs="Times New Roman"/>
          <w:kern w:val="2"/>
          <w:sz w:val="21"/>
          <w:szCs w:val="21"/>
        </w:rPr>
      </w:pPr>
      <w:r>
        <w:rPr>
          <w:rFonts w:ascii="宋体" w:eastAsia="宋体" w:hAnsi="宋体" w:cs="Times New Roman" w:hint="eastAsia"/>
          <w:kern w:val="2"/>
          <w:sz w:val="21"/>
          <w:szCs w:val="21"/>
        </w:rPr>
        <w:lastRenderedPageBreak/>
        <w:t>普通投资者投诉方式及纠纷解决安排。</w:t>
      </w:r>
    </w:p>
    <w:p w:rsidR="00F22945" w:rsidRDefault="00325CE1">
      <w:pPr>
        <w:numPr>
          <w:ilvl w:val="0"/>
          <w:numId w:val="9"/>
        </w:numPr>
        <w:tabs>
          <w:tab w:val="clear" w:pos="825"/>
          <w:tab w:val="left" w:pos="541"/>
          <w:tab w:val="left" w:pos="828"/>
          <w:tab w:val="left" w:pos="993"/>
        </w:tabs>
        <w:ind w:leftChars="-42" w:left="-88" w:rightChars="-15" w:right="-31" w:firstLineChars="200" w:firstLine="420"/>
        <w:rPr>
          <w:rFonts w:ascii="宋体" w:hAnsi="宋体"/>
          <w:szCs w:val="21"/>
        </w:rPr>
      </w:pPr>
      <w:r>
        <w:rPr>
          <w:rFonts w:ascii="宋体" w:hAnsi="宋体"/>
          <w:szCs w:val="21"/>
        </w:rPr>
        <w:t>普通投资者主动要求购买与之风险承受能力不匹配的基金产品或者服务的，基金销售应当遵循以下程序：</w:t>
      </w:r>
    </w:p>
    <w:p w:rsidR="00F22945" w:rsidRDefault="00325CE1">
      <w:pPr>
        <w:pStyle w:val="12"/>
        <w:numPr>
          <w:ilvl w:val="0"/>
          <w:numId w:val="11"/>
        </w:numPr>
        <w:tabs>
          <w:tab w:val="left" w:pos="426"/>
        </w:tabs>
        <w:spacing w:line="240" w:lineRule="auto"/>
        <w:ind w:left="0" w:rightChars="-15" w:right="-31" w:firstLineChars="0" w:firstLine="284"/>
        <w:rPr>
          <w:rFonts w:ascii="宋体" w:eastAsia="宋体" w:hAnsi="宋体" w:cs="Times New Roman"/>
          <w:kern w:val="2"/>
          <w:sz w:val="21"/>
          <w:szCs w:val="21"/>
        </w:rPr>
      </w:pPr>
      <w:r>
        <w:rPr>
          <w:rFonts w:ascii="宋体" w:eastAsia="宋体" w:hAnsi="宋体" w:cs="Times New Roman"/>
          <w:kern w:val="2"/>
          <w:sz w:val="21"/>
          <w:szCs w:val="21"/>
        </w:rPr>
        <w:t>普通投资者主动向基金募集机构提出申请</w:t>
      </w:r>
      <w:r>
        <w:rPr>
          <w:rFonts w:ascii="宋体" w:eastAsia="宋体" w:hAnsi="宋体" w:cs="Times New Roman" w:hint="eastAsia"/>
          <w:kern w:val="2"/>
          <w:sz w:val="21"/>
          <w:szCs w:val="21"/>
        </w:rPr>
        <w:t>并</w:t>
      </w:r>
      <w:r>
        <w:rPr>
          <w:rFonts w:ascii="宋体" w:eastAsia="宋体" w:hAnsi="宋体" w:cs="Times New Roman"/>
          <w:kern w:val="2"/>
          <w:sz w:val="21"/>
          <w:szCs w:val="21"/>
        </w:rPr>
        <w:t>提交《</w:t>
      </w:r>
      <w:r>
        <w:rPr>
          <w:rFonts w:ascii="宋体" w:eastAsia="宋体" w:hAnsi="宋体" w:cs="Times New Roman" w:hint="eastAsia"/>
          <w:kern w:val="2"/>
          <w:sz w:val="21"/>
          <w:szCs w:val="21"/>
        </w:rPr>
        <w:t>风险不匹配警示函及投资者确认书</w:t>
      </w:r>
      <w:r>
        <w:rPr>
          <w:rFonts w:ascii="宋体" w:eastAsia="宋体" w:hAnsi="宋体" w:cs="Times New Roman"/>
          <w:kern w:val="2"/>
          <w:sz w:val="21"/>
          <w:szCs w:val="21"/>
        </w:rPr>
        <w:t>》，明确表示要求购买具体的、高于其风险承受能力的基金产品或服务。并同时声明，基金募集机构及工作人员没有在基金销售过程中主动推介该基金产品或服务的信息；</w:t>
      </w:r>
    </w:p>
    <w:p w:rsidR="00F22945" w:rsidRDefault="00325CE1">
      <w:pPr>
        <w:pStyle w:val="12"/>
        <w:numPr>
          <w:ilvl w:val="0"/>
          <w:numId w:val="11"/>
        </w:numPr>
        <w:tabs>
          <w:tab w:val="left" w:pos="426"/>
        </w:tabs>
        <w:spacing w:line="240" w:lineRule="auto"/>
        <w:ind w:left="0" w:rightChars="-15" w:right="-31" w:firstLineChars="0" w:firstLine="284"/>
        <w:rPr>
          <w:rFonts w:ascii="宋体" w:eastAsia="宋体" w:hAnsi="宋体" w:cs="Times New Roman"/>
          <w:kern w:val="2"/>
          <w:sz w:val="21"/>
          <w:szCs w:val="21"/>
        </w:rPr>
      </w:pPr>
      <w:r>
        <w:rPr>
          <w:rFonts w:ascii="宋体" w:eastAsia="宋体" w:hAnsi="宋体" w:cs="Times New Roman"/>
          <w:kern w:val="2"/>
          <w:sz w:val="21"/>
          <w:szCs w:val="21"/>
        </w:rPr>
        <w:t>基金募集机构对普通投资者资格进行审核，确认其不属于风险承受能力最低类别投资者，也没有违反投资者准入性规定；</w:t>
      </w:r>
    </w:p>
    <w:p w:rsidR="00F22945" w:rsidRDefault="00325CE1">
      <w:pPr>
        <w:pStyle w:val="12"/>
        <w:numPr>
          <w:ilvl w:val="0"/>
          <w:numId w:val="11"/>
        </w:numPr>
        <w:tabs>
          <w:tab w:val="left" w:pos="426"/>
        </w:tabs>
        <w:spacing w:line="240" w:lineRule="auto"/>
        <w:ind w:left="0" w:rightChars="-15" w:right="-31" w:firstLineChars="0" w:firstLine="284"/>
        <w:rPr>
          <w:rFonts w:ascii="宋体" w:eastAsia="宋体" w:hAnsi="宋体" w:cs="Times New Roman"/>
          <w:kern w:val="2"/>
          <w:sz w:val="21"/>
          <w:szCs w:val="21"/>
        </w:rPr>
      </w:pPr>
      <w:r>
        <w:rPr>
          <w:rFonts w:ascii="宋体" w:eastAsia="宋体" w:hAnsi="宋体" w:cs="Times New Roman"/>
          <w:kern w:val="2"/>
          <w:sz w:val="21"/>
          <w:szCs w:val="21"/>
        </w:rPr>
        <w:t>基金募集机构向普通投资者以《</w:t>
      </w:r>
      <w:r>
        <w:rPr>
          <w:rFonts w:ascii="宋体" w:eastAsia="宋体" w:hAnsi="宋体" w:cs="Times New Roman" w:hint="eastAsia"/>
          <w:kern w:val="2"/>
          <w:sz w:val="21"/>
          <w:szCs w:val="21"/>
        </w:rPr>
        <w:t>风险不匹配警示函及投资者确认书</w:t>
      </w:r>
      <w:r>
        <w:rPr>
          <w:rFonts w:ascii="宋体" w:eastAsia="宋体" w:hAnsi="宋体" w:cs="Times New Roman"/>
          <w:kern w:val="2"/>
          <w:sz w:val="21"/>
          <w:szCs w:val="21"/>
        </w:rPr>
        <w:t>》进行特别警示，告知其该产品或服务风险高于投资者承受能力；</w:t>
      </w:r>
    </w:p>
    <w:p w:rsidR="00F22945" w:rsidRDefault="00325CE1">
      <w:pPr>
        <w:pStyle w:val="12"/>
        <w:numPr>
          <w:ilvl w:val="0"/>
          <w:numId w:val="11"/>
        </w:numPr>
        <w:tabs>
          <w:tab w:val="left" w:pos="426"/>
        </w:tabs>
        <w:spacing w:line="240" w:lineRule="auto"/>
        <w:ind w:left="0" w:rightChars="-15" w:right="-31" w:firstLineChars="0" w:firstLine="284"/>
        <w:rPr>
          <w:rFonts w:ascii="宋体" w:eastAsia="宋体" w:hAnsi="宋体" w:cs="Times New Roman"/>
          <w:kern w:val="2"/>
          <w:sz w:val="21"/>
          <w:szCs w:val="21"/>
        </w:rPr>
      </w:pPr>
      <w:r>
        <w:rPr>
          <w:rFonts w:ascii="宋体" w:eastAsia="宋体" w:hAnsi="宋体" w:cs="Times New Roman"/>
          <w:kern w:val="2"/>
          <w:sz w:val="21"/>
          <w:szCs w:val="21"/>
        </w:rPr>
        <w:t>普通投资者对该警示进行确认，表示已充分知晓 该基金产品或者服务风险高于其承受能力，并明确做出愿意自行承担相应不利结果的意思表示；</w:t>
      </w:r>
    </w:p>
    <w:p w:rsidR="00F22945" w:rsidRDefault="00325CE1">
      <w:pPr>
        <w:pStyle w:val="12"/>
        <w:numPr>
          <w:ilvl w:val="0"/>
          <w:numId w:val="11"/>
        </w:numPr>
        <w:tabs>
          <w:tab w:val="left" w:pos="426"/>
        </w:tabs>
        <w:spacing w:line="240" w:lineRule="auto"/>
        <w:ind w:left="0" w:rightChars="-15" w:right="-31" w:firstLineChars="0" w:firstLine="284"/>
        <w:rPr>
          <w:rFonts w:ascii="宋体" w:eastAsia="宋体" w:hAnsi="宋体" w:cs="Times New Roman"/>
          <w:kern w:val="2"/>
          <w:sz w:val="21"/>
          <w:szCs w:val="21"/>
        </w:rPr>
      </w:pPr>
      <w:r>
        <w:rPr>
          <w:rFonts w:ascii="宋体" w:eastAsia="宋体" w:hAnsi="宋体" w:cs="Times New Roman"/>
          <w:kern w:val="2"/>
          <w:sz w:val="21"/>
          <w:szCs w:val="21"/>
        </w:rPr>
        <w:t>基金募集机构履行特别警示义务后</w:t>
      </w:r>
      <w:r>
        <w:rPr>
          <w:rFonts w:ascii="宋体" w:eastAsia="宋体" w:hAnsi="宋体" w:cs="Times New Roman" w:hint="eastAsia"/>
          <w:kern w:val="2"/>
          <w:sz w:val="21"/>
          <w:szCs w:val="21"/>
        </w:rPr>
        <w:t>（出示</w:t>
      </w:r>
      <w:r>
        <w:rPr>
          <w:rFonts w:ascii="宋体" w:eastAsia="宋体" w:hAnsi="宋体" w:cs="Times New Roman"/>
          <w:kern w:val="2"/>
          <w:sz w:val="21"/>
          <w:szCs w:val="21"/>
        </w:rPr>
        <w:t>《</w:t>
      </w:r>
      <w:r>
        <w:rPr>
          <w:rFonts w:ascii="宋体" w:eastAsia="宋体" w:hAnsi="宋体" w:cs="Times New Roman" w:hint="eastAsia"/>
          <w:kern w:val="2"/>
          <w:sz w:val="21"/>
          <w:szCs w:val="21"/>
        </w:rPr>
        <w:t>普通投资者风险提示函</w:t>
      </w:r>
      <w:r>
        <w:rPr>
          <w:rFonts w:ascii="宋体" w:eastAsia="宋体" w:hAnsi="宋体" w:cs="Times New Roman"/>
          <w:kern w:val="2"/>
          <w:sz w:val="21"/>
          <w:szCs w:val="21"/>
        </w:rPr>
        <w:t>》），普通投资者仍坚持购买该产品或者服务的，基金募集机构可以向其销售相关产品或者提供相关服务。</w:t>
      </w:r>
    </w:p>
    <w:p w:rsidR="00F22945" w:rsidRDefault="00325CE1">
      <w:pPr>
        <w:tabs>
          <w:tab w:val="left" w:pos="426"/>
          <w:tab w:val="left" w:pos="851"/>
          <w:tab w:val="left" w:pos="993"/>
        </w:tabs>
        <w:ind w:left="480"/>
        <w:rPr>
          <w:rFonts w:ascii="宋体" w:hAnsi="宋体" w:cs="Arial"/>
          <w:szCs w:val="21"/>
        </w:rPr>
      </w:pPr>
      <w:bookmarkStart w:id="10" w:name="_Toc192410893"/>
      <w:r>
        <w:rPr>
          <w:rFonts w:ascii="宋体" w:hAnsi="宋体" w:cs="Arial" w:hint="eastAsia"/>
          <w:szCs w:val="21"/>
        </w:rPr>
        <w:t>（四</w:t>
      </w:r>
      <w:r>
        <w:rPr>
          <w:rFonts w:ascii="宋体" w:hAnsi="宋体" w:cs="Arial"/>
          <w:szCs w:val="21"/>
        </w:rPr>
        <w:t>）</w:t>
      </w:r>
      <w:r>
        <w:rPr>
          <w:rFonts w:ascii="宋体" w:hAnsi="宋体" w:cs="Arial" w:hint="eastAsia"/>
          <w:szCs w:val="21"/>
        </w:rPr>
        <w:t>直销柜台客户办理赎回、转托管和转换业务</w:t>
      </w:r>
      <w:bookmarkEnd w:id="10"/>
    </w:p>
    <w:p w:rsidR="00F22945" w:rsidRDefault="00325CE1">
      <w:pPr>
        <w:tabs>
          <w:tab w:val="left" w:pos="1155"/>
        </w:tabs>
        <w:ind w:firstLineChars="200" w:firstLine="420"/>
        <w:rPr>
          <w:rFonts w:ascii="宋体" w:hAnsi="宋体" w:cs="Arial"/>
          <w:szCs w:val="21"/>
        </w:rPr>
      </w:pPr>
      <w:r>
        <w:rPr>
          <w:rFonts w:ascii="宋体" w:hAnsi="宋体" w:cs="Arial"/>
          <w:szCs w:val="21"/>
        </w:rPr>
        <w:t>A.</w:t>
      </w:r>
      <w:r>
        <w:rPr>
          <w:rFonts w:ascii="宋体" w:hAnsi="宋体" w:cs="Arial" w:hint="eastAsia"/>
          <w:szCs w:val="21"/>
        </w:rPr>
        <w:t>个人投资者须提供的材料：</w:t>
      </w:r>
    </w:p>
    <w:p w:rsidR="00F22945" w:rsidRDefault="00325CE1">
      <w:pPr>
        <w:numPr>
          <w:ilvl w:val="0"/>
          <w:numId w:val="12"/>
        </w:numPr>
        <w:ind w:firstLine="6"/>
        <w:rPr>
          <w:rFonts w:ascii="宋体" w:hAnsi="宋体"/>
          <w:szCs w:val="21"/>
        </w:rPr>
      </w:pPr>
      <w:r>
        <w:rPr>
          <w:rFonts w:ascii="宋体" w:hAnsi="宋体" w:hint="eastAsia"/>
          <w:szCs w:val="21"/>
        </w:rPr>
        <w:t>填妥并由投资者签字确认的《交易业务申请表》；</w:t>
      </w:r>
    </w:p>
    <w:p w:rsidR="00F22945" w:rsidRDefault="00325CE1">
      <w:pPr>
        <w:numPr>
          <w:ilvl w:val="0"/>
          <w:numId w:val="12"/>
        </w:numPr>
        <w:ind w:firstLine="6"/>
        <w:rPr>
          <w:rFonts w:ascii="宋体" w:hAnsi="宋体"/>
          <w:szCs w:val="21"/>
        </w:rPr>
      </w:pPr>
      <w:r>
        <w:rPr>
          <w:rFonts w:ascii="宋体" w:hAnsi="宋体" w:hint="eastAsia"/>
          <w:szCs w:val="21"/>
        </w:rPr>
        <w:t>申请人有效身份证件原件或复印件；</w:t>
      </w:r>
    </w:p>
    <w:p w:rsidR="00F22945" w:rsidRDefault="00325CE1">
      <w:pPr>
        <w:numPr>
          <w:ilvl w:val="0"/>
          <w:numId w:val="12"/>
        </w:numPr>
        <w:ind w:left="0" w:firstLine="426"/>
        <w:rPr>
          <w:rFonts w:ascii="宋体" w:hAnsi="宋体"/>
          <w:szCs w:val="21"/>
        </w:rPr>
      </w:pPr>
      <w:r>
        <w:rPr>
          <w:rFonts w:ascii="宋体" w:hAnsi="宋体" w:hint="eastAsia"/>
          <w:szCs w:val="21"/>
        </w:rPr>
        <w:t>委托他人代办的，须提供经申请人签字确认并经公证处公证的《业务授权委托书》并同时出示投资者本人及被授权人有效身份证件原件或复印件；</w:t>
      </w:r>
    </w:p>
    <w:p w:rsidR="00F22945" w:rsidRDefault="00325CE1">
      <w:pPr>
        <w:numPr>
          <w:ilvl w:val="0"/>
          <w:numId w:val="12"/>
        </w:numPr>
        <w:tabs>
          <w:tab w:val="left" w:pos="993"/>
        </w:tabs>
        <w:ind w:left="-142" w:rightChars="-7" w:right="-15" w:firstLine="574"/>
        <w:rPr>
          <w:rFonts w:ascii="宋体" w:hAnsi="宋体"/>
          <w:szCs w:val="21"/>
        </w:rPr>
      </w:pPr>
      <w:r>
        <w:rPr>
          <w:rFonts w:ascii="宋体" w:hAnsi="宋体" w:hint="eastAsia"/>
          <w:szCs w:val="21"/>
        </w:rPr>
        <w:t>与开放式基金账户相关联的深圳</w:t>
      </w:r>
      <w:r>
        <w:rPr>
          <w:rFonts w:ascii="宋体" w:hAnsi="宋体"/>
          <w:szCs w:val="21"/>
        </w:rPr>
        <w:t>/上海证券账户（</w:t>
      </w:r>
      <w:r>
        <w:rPr>
          <w:rFonts w:ascii="宋体" w:hAnsi="宋体" w:hint="eastAsia"/>
          <w:szCs w:val="21"/>
        </w:rPr>
        <w:t>仅限于跨系统转托管）。</w:t>
      </w:r>
    </w:p>
    <w:p w:rsidR="00F22945" w:rsidRDefault="00325CE1">
      <w:pPr>
        <w:tabs>
          <w:tab w:val="left" w:pos="1155"/>
        </w:tabs>
        <w:ind w:firstLineChars="200" w:firstLine="420"/>
        <w:rPr>
          <w:rFonts w:ascii="宋体" w:hAnsi="宋体" w:cs="Arial"/>
          <w:szCs w:val="21"/>
        </w:rPr>
      </w:pPr>
      <w:r>
        <w:rPr>
          <w:rFonts w:ascii="宋体" w:hAnsi="宋体" w:cs="Arial" w:hint="eastAsia"/>
          <w:szCs w:val="21"/>
        </w:rPr>
        <w:t>B</w:t>
      </w:r>
      <w:r>
        <w:rPr>
          <w:rFonts w:ascii="宋体" w:hAnsi="宋体" w:cs="Arial"/>
          <w:szCs w:val="21"/>
        </w:rPr>
        <w:t>.</w:t>
      </w:r>
      <w:r>
        <w:rPr>
          <w:rFonts w:ascii="宋体" w:hAnsi="宋体" w:cs="Arial" w:hint="eastAsia"/>
          <w:szCs w:val="21"/>
        </w:rPr>
        <w:t>机构投资者须提供的材料：</w:t>
      </w:r>
    </w:p>
    <w:p w:rsidR="00F22945" w:rsidRDefault="00325CE1">
      <w:pPr>
        <w:numPr>
          <w:ilvl w:val="0"/>
          <w:numId w:val="13"/>
        </w:numPr>
        <w:ind w:left="0" w:rightChars="-7" w:right="-15" w:firstLineChars="200" w:firstLine="420"/>
        <w:rPr>
          <w:rFonts w:ascii="宋体" w:hAnsi="宋体"/>
          <w:szCs w:val="21"/>
        </w:rPr>
      </w:pPr>
      <w:r>
        <w:rPr>
          <w:rFonts w:ascii="宋体" w:hAnsi="宋体" w:hint="eastAsia"/>
          <w:szCs w:val="21"/>
        </w:rPr>
        <w:t>填妥并由投资者加盖公章</w:t>
      </w:r>
      <w:r>
        <w:rPr>
          <w:rFonts w:ascii="宋体" w:hAnsi="宋体"/>
          <w:szCs w:val="21"/>
        </w:rPr>
        <w:t>/业务章</w:t>
      </w:r>
      <w:r>
        <w:rPr>
          <w:rFonts w:ascii="宋体" w:hAnsi="宋体" w:hint="eastAsia"/>
          <w:szCs w:val="21"/>
        </w:rPr>
        <w:t>和法定代表人签章</w:t>
      </w:r>
      <w:r>
        <w:rPr>
          <w:rFonts w:ascii="宋体" w:hAnsi="宋体"/>
          <w:szCs w:val="21"/>
        </w:rPr>
        <w:t>/私人签章</w:t>
      </w:r>
      <w:r>
        <w:rPr>
          <w:rFonts w:ascii="宋体" w:hAnsi="宋体" w:hint="eastAsia"/>
          <w:szCs w:val="21"/>
        </w:rPr>
        <w:t>或预留印鉴章的《交易业务申请表》；</w:t>
      </w:r>
    </w:p>
    <w:p w:rsidR="00F22945" w:rsidRDefault="00325CE1">
      <w:pPr>
        <w:numPr>
          <w:ilvl w:val="0"/>
          <w:numId w:val="13"/>
        </w:numPr>
        <w:ind w:left="0" w:rightChars="-7" w:right="-15" w:firstLineChars="200" w:firstLine="420"/>
        <w:rPr>
          <w:rFonts w:ascii="宋体" w:hAnsi="宋体"/>
          <w:szCs w:val="21"/>
        </w:rPr>
      </w:pPr>
      <w:r>
        <w:rPr>
          <w:rFonts w:ascii="宋体" w:hAnsi="宋体" w:hint="eastAsia"/>
          <w:szCs w:val="21"/>
        </w:rPr>
        <w:t>与开放式基金账户相关联的深圳</w:t>
      </w:r>
      <w:r>
        <w:rPr>
          <w:rFonts w:ascii="宋体" w:hAnsi="宋体"/>
          <w:szCs w:val="21"/>
        </w:rPr>
        <w:t>/上海证券账户的复印件加盖预留印鉴（仅限于跨系统转托管）。</w:t>
      </w:r>
    </w:p>
    <w:p w:rsidR="00F22945" w:rsidRDefault="00325CE1">
      <w:pPr>
        <w:spacing w:line="276" w:lineRule="auto"/>
        <w:ind w:firstLineChars="200" w:firstLine="420"/>
        <w:rPr>
          <w:szCs w:val="21"/>
        </w:rPr>
      </w:pPr>
      <w:r>
        <w:rPr>
          <w:rFonts w:hint="eastAsia"/>
          <w:szCs w:val="21"/>
        </w:rPr>
        <w:t>（五）特殊类业务</w:t>
      </w:r>
    </w:p>
    <w:p w:rsidR="00F22945" w:rsidRDefault="00325CE1">
      <w:pPr>
        <w:spacing w:line="276" w:lineRule="auto"/>
        <w:ind w:firstLineChars="200" w:firstLine="420"/>
        <w:rPr>
          <w:szCs w:val="21"/>
        </w:rPr>
      </w:pPr>
      <w:r>
        <w:rPr>
          <w:rFonts w:hint="eastAsia"/>
          <w:szCs w:val="21"/>
        </w:rPr>
        <w:t>继承是指基金</w:t>
      </w:r>
      <w:r>
        <w:rPr>
          <w:szCs w:val="21"/>
        </w:rPr>
        <w:t>/</w:t>
      </w:r>
      <w:proofErr w:type="gramStart"/>
      <w:r>
        <w:rPr>
          <w:rFonts w:hint="eastAsia"/>
          <w:szCs w:val="21"/>
        </w:rPr>
        <w:t>资管计划</w:t>
      </w:r>
      <w:proofErr w:type="gramEnd"/>
      <w:r>
        <w:rPr>
          <w:rFonts w:hint="eastAsia"/>
          <w:szCs w:val="21"/>
        </w:rPr>
        <w:t>持有人死亡，其持有的基金单位由其合法的继承人继承。</w:t>
      </w:r>
    </w:p>
    <w:p w:rsidR="00F22945" w:rsidRDefault="00325CE1">
      <w:pPr>
        <w:spacing w:line="276" w:lineRule="auto"/>
        <w:ind w:firstLineChars="200" w:firstLine="420"/>
        <w:rPr>
          <w:szCs w:val="21"/>
        </w:rPr>
      </w:pPr>
      <w:r>
        <w:rPr>
          <w:rFonts w:hint="eastAsia"/>
          <w:szCs w:val="21"/>
        </w:rPr>
        <w:t>捐赠仅指基金</w:t>
      </w:r>
      <w:r>
        <w:rPr>
          <w:szCs w:val="21"/>
        </w:rPr>
        <w:t>/</w:t>
      </w:r>
      <w:proofErr w:type="gramStart"/>
      <w:r>
        <w:rPr>
          <w:rFonts w:hint="eastAsia"/>
          <w:szCs w:val="21"/>
        </w:rPr>
        <w:t>资管计划</w:t>
      </w:r>
      <w:proofErr w:type="gramEnd"/>
      <w:r>
        <w:rPr>
          <w:rFonts w:hint="eastAsia"/>
          <w:szCs w:val="21"/>
        </w:rPr>
        <w:t>持有人将其合法持有的基金单位捐赠给福利性质的基金会或社会团体。</w:t>
      </w:r>
    </w:p>
    <w:p w:rsidR="00F22945" w:rsidRDefault="00325CE1">
      <w:pPr>
        <w:spacing w:line="276" w:lineRule="auto"/>
        <w:ind w:firstLineChars="200" w:firstLine="420"/>
        <w:rPr>
          <w:szCs w:val="21"/>
        </w:rPr>
      </w:pPr>
      <w:r>
        <w:rPr>
          <w:rFonts w:hint="eastAsia"/>
          <w:szCs w:val="21"/>
        </w:rPr>
        <w:t>司法强制执行是指司法机构依据生效司法文书将基金</w:t>
      </w:r>
      <w:r>
        <w:rPr>
          <w:szCs w:val="21"/>
        </w:rPr>
        <w:t>/</w:t>
      </w:r>
      <w:proofErr w:type="gramStart"/>
      <w:r>
        <w:rPr>
          <w:rFonts w:hint="eastAsia"/>
          <w:szCs w:val="21"/>
        </w:rPr>
        <w:t>资管计划</w:t>
      </w:r>
      <w:proofErr w:type="gramEnd"/>
      <w:r>
        <w:rPr>
          <w:rFonts w:hint="eastAsia"/>
          <w:szCs w:val="21"/>
        </w:rPr>
        <w:t>持有人持有的基金单位强制判决划转给其它自然人、法人、社会团体或其它组织。</w:t>
      </w:r>
    </w:p>
    <w:p w:rsidR="00F22945" w:rsidRDefault="00325CE1">
      <w:pPr>
        <w:spacing w:line="276" w:lineRule="auto"/>
        <w:ind w:firstLineChars="200" w:firstLine="420"/>
        <w:rPr>
          <w:szCs w:val="21"/>
        </w:rPr>
      </w:pPr>
      <w:r>
        <w:rPr>
          <w:rFonts w:hint="eastAsia"/>
          <w:szCs w:val="21"/>
        </w:rPr>
        <w:t>继承和捐赠情况下的</w:t>
      </w:r>
      <w:proofErr w:type="gramStart"/>
      <w:r>
        <w:rPr>
          <w:rFonts w:hint="eastAsia"/>
          <w:szCs w:val="21"/>
        </w:rPr>
        <w:t>非交易</w:t>
      </w:r>
      <w:proofErr w:type="gramEnd"/>
      <w:r>
        <w:rPr>
          <w:rFonts w:hint="eastAsia"/>
          <w:szCs w:val="21"/>
        </w:rPr>
        <w:t>过户由过出</w:t>
      </w:r>
      <w:proofErr w:type="gramStart"/>
      <w:r>
        <w:rPr>
          <w:rFonts w:hint="eastAsia"/>
          <w:szCs w:val="21"/>
        </w:rPr>
        <w:t>方基金</w:t>
      </w:r>
      <w:proofErr w:type="gramEnd"/>
      <w:r>
        <w:rPr>
          <w:rFonts w:hint="eastAsia"/>
          <w:szCs w:val="21"/>
        </w:rPr>
        <w:t>份额托管点受理；司法执行的</w:t>
      </w:r>
      <w:proofErr w:type="gramStart"/>
      <w:r>
        <w:rPr>
          <w:rFonts w:hint="eastAsia"/>
          <w:szCs w:val="21"/>
        </w:rPr>
        <w:t>非交易</w:t>
      </w:r>
      <w:proofErr w:type="gramEnd"/>
      <w:r>
        <w:rPr>
          <w:rFonts w:hint="eastAsia"/>
          <w:szCs w:val="21"/>
        </w:rPr>
        <w:t>过户由基金注册登记机构直接受理。过户行为统一由基金注册登记机构核实相关资料后给予办理。</w:t>
      </w:r>
      <w:proofErr w:type="gramStart"/>
      <w:r>
        <w:rPr>
          <w:rFonts w:hint="eastAsia"/>
          <w:szCs w:val="21"/>
        </w:rPr>
        <w:t>非交易</w:t>
      </w:r>
      <w:proofErr w:type="gramEnd"/>
      <w:r>
        <w:rPr>
          <w:rFonts w:hint="eastAsia"/>
          <w:szCs w:val="21"/>
        </w:rPr>
        <w:t>过户的过入方在办理</w:t>
      </w:r>
      <w:proofErr w:type="gramStart"/>
      <w:r>
        <w:rPr>
          <w:rFonts w:hint="eastAsia"/>
          <w:szCs w:val="21"/>
        </w:rPr>
        <w:t>非交易</w:t>
      </w:r>
      <w:proofErr w:type="gramEnd"/>
      <w:r>
        <w:rPr>
          <w:rFonts w:hint="eastAsia"/>
          <w:szCs w:val="21"/>
        </w:rPr>
        <w:t>过户之前，没有开立本公司基金账户卡的，要先办理开户业务。</w:t>
      </w:r>
    </w:p>
    <w:p w:rsidR="00F22945" w:rsidRDefault="00325CE1">
      <w:pPr>
        <w:tabs>
          <w:tab w:val="left" w:pos="900"/>
        </w:tabs>
        <w:spacing w:line="276" w:lineRule="auto"/>
        <w:ind w:firstLineChars="200" w:firstLine="420"/>
        <w:rPr>
          <w:szCs w:val="21"/>
        </w:rPr>
      </w:pPr>
      <w:r>
        <w:rPr>
          <w:szCs w:val="21"/>
        </w:rPr>
        <w:t>1</w:t>
      </w:r>
      <w:r>
        <w:rPr>
          <w:rFonts w:hint="eastAsia"/>
          <w:szCs w:val="21"/>
        </w:rPr>
        <w:t>、继承业务</w:t>
      </w:r>
    </w:p>
    <w:p w:rsidR="00F22945" w:rsidRDefault="00325CE1">
      <w:pPr>
        <w:spacing w:line="276" w:lineRule="auto"/>
        <w:ind w:firstLineChars="200" w:firstLine="420"/>
        <w:rPr>
          <w:szCs w:val="21"/>
        </w:rPr>
      </w:pPr>
      <w:r>
        <w:rPr>
          <w:rFonts w:hint="eastAsia"/>
          <w:szCs w:val="21"/>
        </w:rPr>
        <w:t>销售代理人受理个人投资人</w:t>
      </w:r>
      <w:proofErr w:type="gramStart"/>
      <w:r>
        <w:rPr>
          <w:rFonts w:hint="eastAsia"/>
          <w:szCs w:val="21"/>
        </w:rPr>
        <w:t>办理因</w:t>
      </w:r>
      <w:proofErr w:type="gramEnd"/>
      <w:r>
        <w:rPr>
          <w:rFonts w:hint="eastAsia"/>
          <w:szCs w:val="21"/>
        </w:rPr>
        <w:t>继承而发生的基金</w:t>
      </w:r>
      <w:proofErr w:type="gramStart"/>
      <w:r>
        <w:rPr>
          <w:rFonts w:hint="eastAsia"/>
          <w:szCs w:val="21"/>
        </w:rPr>
        <w:t>非交易</w:t>
      </w:r>
      <w:proofErr w:type="gramEnd"/>
      <w:r>
        <w:rPr>
          <w:rFonts w:hint="eastAsia"/>
          <w:szCs w:val="21"/>
        </w:rPr>
        <w:t>过户的申请，应当核验申请</w:t>
      </w:r>
      <w:r>
        <w:rPr>
          <w:rFonts w:hint="eastAsia"/>
          <w:szCs w:val="21"/>
        </w:rPr>
        <w:lastRenderedPageBreak/>
        <w:t>人以下材料：继承公证书原件；证明被继承人死亡的有效法律文件原件及复印件；继承人身份证及复印件；填妥的申请表。</w:t>
      </w:r>
    </w:p>
    <w:p w:rsidR="00F22945" w:rsidRDefault="00325CE1">
      <w:pPr>
        <w:spacing w:line="276" w:lineRule="auto"/>
        <w:ind w:firstLineChars="200" w:firstLine="420"/>
        <w:rPr>
          <w:szCs w:val="21"/>
        </w:rPr>
      </w:pPr>
      <w:r>
        <w:rPr>
          <w:rFonts w:hint="eastAsia"/>
          <w:szCs w:val="21"/>
        </w:rPr>
        <w:t>销售代理人需要留存的材料为：继承公证书复印件、证明被继承人死亡的有效法律文件复印件、继承人身份证复印件、填妥的申请表。</w:t>
      </w:r>
    </w:p>
    <w:p w:rsidR="00F22945" w:rsidRDefault="00325CE1">
      <w:pPr>
        <w:tabs>
          <w:tab w:val="left" w:pos="900"/>
        </w:tabs>
        <w:spacing w:line="276" w:lineRule="auto"/>
        <w:ind w:firstLineChars="200" w:firstLine="420"/>
        <w:rPr>
          <w:szCs w:val="21"/>
        </w:rPr>
      </w:pPr>
      <w:r>
        <w:rPr>
          <w:szCs w:val="21"/>
        </w:rPr>
        <w:t>2</w:t>
      </w:r>
      <w:r>
        <w:rPr>
          <w:rFonts w:hint="eastAsia"/>
          <w:szCs w:val="21"/>
        </w:rPr>
        <w:t>、捐赠业务</w:t>
      </w:r>
    </w:p>
    <w:p w:rsidR="00F22945" w:rsidRDefault="00325CE1">
      <w:pPr>
        <w:spacing w:line="276" w:lineRule="auto"/>
        <w:ind w:firstLineChars="200" w:firstLine="420"/>
        <w:rPr>
          <w:szCs w:val="21"/>
        </w:rPr>
      </w:pPr>
      <w:r>
        <w:rPr>
          <w:rFonts w:hint="eastAsia"/>
          <w:szCs w:val="21"/>
        </w:rPr>
        <w:t>销售代理人受理个人投资人因办理捐赠而发生的基金</w:t>
      </w:r>
      <w:proofErr w:type="gramStart"/>
      <w:r>
        <w:rPr>
          <w:rFonts w:hint="eastAsia"/>
          <w:szCs w:val="21"/>
        </w:rPr>
        <w:t>非交易</w:t>
      </w:r>
      <w:proofErr w:type="gramEnd"/>
      <w:r>
        <w:rPr>
          <w:rFonts w:hint="eastAsia"/>
          <w:szCs w:val="21"/>
        </w:rPr>
        <w:t>过户的申请，应当核验申请人以下材料：捐赠公证书原件；捐赠方的身份证明原件；受赠方的注册证书或登记证书原件及加盖公章复印件；填妥的经签字确认的申请表。销售代理人需要留存的材料为：捐赠公证书原件、捐赠方的身份证明复印件、受赠方的注册证书或登记证书的加盖公章复印件、当事人双方基金账户卡复印件、填妥的经签字确认的申请表。</w:t>
      </w:r>
    </w:p>
    <w:p w:rsidR="00F22945" w:rsidRDefault="00325CE1">
      <w:pPr>
        <w:spacing w:line="276" w:lineRule="auto"/>
        <w:ind w:firstLineChars="200" w:firstLine="420"/>
        <w:rPr>
          <w:szCs w:val="21"/>
        </w:rPr>
      </w:pPr>
      <w:r>
        <w:rPr>
          <w:rFonts w:hint="eastAsia"/>
          <w:szCs w:val="21"/>
        </w:rPr>
        <w:t>销售代理人受理机构投资人</w:t>
      </w:r>
      <w:proofErr w:type="gramStart"/>
      <w:r>
        <w:rPr>
          <w:rFonts w:hint="eastAsia"/>
          <w:szCs w:val="21"/>
        </w:rPr>
        <w:t>办理因</w:t>
      </w:r>
      <w:proofErr w:type="gramEnd"/>
      <w:r>
        <w:rPr>
          <w:rFonts w:hint="eastAsia"/>
          <w:szCs w:val="21"/>
        </w:rPr>
        <w:t>捐赠而发生的基金</w:t>
      </w:r>
      <w:proofErr w:type="gramStart"/>
      <w:r>
        <w:rPr>
          <w:rFonts w:hint="eastAsia"/>
          <w:szCs w:val="21"/>
        </w:rPr>
        <w:t>非交易</w:t>
      </w:r>
      <w:proofErr w:type="gramEnd"/>
      <w:r>
        <w:rPr>
          <w:rFonts w:hint="eastAsia"/>
          <w:szCs w:val="21"/>
        </w:rPr>
        <w:t>过户的申请，应当核验申请人以下材料：捐赠公证书原件；捐赠方的企业法人营业执照或注册登记证书原件及加盖公章的复印件；捐赠方经办人的授权委托书原件；捐赠方经办人身份证件原件及复印件；受赠方的注册证书或登记证书原件及加盖公章复印件；填妥的加盖单位公章的申请表。销售代理人需要留存的材料为：捐赠公证书原件、捐赠方的企业法人营业执照或注册登记证书的加盖公章的复印件、捐赠方经办人的授权委托书原件、捐赠方经办人身份证件复印件、受赠方的注册证书或登记证书的加盖公章复印件、填妥的加盖单位公章的申请表。</w:t>
      </w:r>
    </w:p>
    <w:p w:rsidR="00F22945" w:rsidRDefault="00325CE1">
      <w:pPr>
        <w:tabs>
          <w:tab w:val="left" w:pos="900"/>
        </w:tabs>
        <w:spacing w:line="276" w:lineRule="auto"/>
        <w:ind w:firstLineChars="200" w:firstLine="420"/>
        <w:rPr>
          <w:szCs w:val="21"/>
        </w:rPr>
      </w:pPr>
      <w:r>
        <w:rPr>
          <w:szCs w:val="21"/>
        </w:rPr>
        <w:t>3</w:t>
      </w:r>
      <w:r>
        <w:rPr>
          <w:rFonts w:hint="eastAsia"/>
          <w:szCs w:val="21"/>
        </w:rPr>
        <w:t>、司法强制执行业务</w:t>
      </w:r>
    </w:p>
    <w:p w:rsidR="00F22945" w:rsidRDefault="00325CE1">
      <w:pPr>
        <w:spacing w:line="276" w:lineRule="auto"/>
        <w:ind w:firstLineChars="200" w:firstLine="420"/>
        <w:rPr>
          <w:szCs w:val="21"/>
        </w:rPr>
      </w:pPr>
      <w:r>
        <w:rPr>
          <w:rFonts w:hint="eastAsia"/>
          <w:szCs w:val="21"/>
        </w:rPr>
        <w:t>基金注册登记机构受理个人投资人因司法判决而发生的基金</w:t>
      </w:r>
      <w:proofErr w:type="gramStart"/>
      <w:r>
        <w:rPr>
          <w:rFonts w:hint="eastAsia"/>
          <w:szCs w:val="21"/>
        </w:rPr>
        <w:t>非交易</w:t>
      </w:r>
      <w:proofErr w:type="gramEnd"/>
      <w:r>
        <w:rPr>
          <w:rFonts w:hint="eastAsia"/>
          <w:szCs w:val="21"/>
        </w:rPr>
        <w:t>过户的申请，应当核验申请人以下材料：已经生效的司法判决书或司法调解书原件；当事人双方身份证原件及复印件（司法强制执行除外）；司法机关及其它有权机关的介绍信原件、经办人执行公务证或身份证件原件、已生效的协助执行文件原件（当发生司法强制执行时）；填妥的申请表。</w:t>
      </w:r>
      <w:r>
        <w:rPr>
          <w:szCs w:val="21"/>
        </w:rPr>
        <w:t xml:space="preserve">    </w:t>
      </w:r>
    </w:p>
    <w:p w:rsidR="00F22945" w:rsidRDefault="00325CE1">
      <w:pPr>
        <w:spacing w:line="276" w:lineRule="auto"/>
        <w:ind w:firstLineChars="200" w:firstLine="420"/>
        <w:rPr>
          <w:szCs w:val="21"/>
        </w:rPr>
      </w:pPr>
      <w:r>
        <w:rPr>
          <w:rFonts w:hint="eastAsia"/>
          <w:szCs w:val="21"/>
        </w:rPr>
        <w:t>基金注册登记机构需要留存的材料为：已经生效的司法判决书或司法调解书复印件、当事人双方身份证复印件（司法强制执行除外）、司法机关及其它有权机关的介绍信原件、经办人执行公务证及身份证件复印件及已生效的协助执行文件原件（当发生司法强制执行时）、填妥的申请表。</w:t>
      </w:r>
    </w:p>
    <w:p w:rsidR="00F22945" w:rsidRDefault="00325CE1">
      <w:pPr>
        <w:spacing w:line="276" w:lineRule="auto"/>
        <w:ind w:firstLineChars="200" w:firstLine="420"/>
        <w:rPr>
          <w:szCs w:val="21"/>
        </w:rPr>
      </w:pPr>
      <w:r>
        <w:rPr>
          <w:rFonts w:hint="eastAsia"/>
          <w:szCs w:val="21"/>
        </w:rPr>
        <w:t>基金注册登记机构受理机构投资人因司法判决而发生的基金</w:t>
      </w:r>
      <w:proofErr w:type="gramStart"/>
      <w:r>
        <w:rPr>
          <w:rFonts w:hint="eastAsia"/>
          <w:szCs w:val="21"/>
        </w:rPr>
        <w:t>非交易</w:t>
      </w:r>
      <w:proofErr w:type="gramEnd"/>
      <w:r>
        <w:rPr>
          <w:rFonts w:hint="eastAsia"/>
          <w:szCs w:val="21"/>
        </w:rPr>
        <w:t>过户的申请，应当核验申请人以下材料：经生效的司法判决书或司法调解书原件；经年检的企业法人营业执照或法人登记代码证原件及加盖公章的复印件（司法强制执行除外）；经办人的授权委托书原件（司法强制执行除外）；经办人的身份证原件及复印件（司法强制执行除外）；司法机关及其它有权机关的介绍信原件、经办人执行公务证原件及身份证件、已生效的协助执行文件原件（当发生司法强制执行时）；填妥的申请表。</w:t>
      </w:r>
    </w:p>
    <w:p w:rsidR="00F22945" w:rsidRDefault="00325CE1">
      <w:pPr>
        <w:spacing w:line="276" w:lineRule="auto"/>
        <w:ind w:firstLineChars="200" w:firstLine="420"/>
        <w:rPr>
          <w:szCs w:val="21"/>
        </w:rPr>
      </w:pPr>
      <w:r>
        <w:rPr>
          <w:rFonts w:hint="eastAsia"/>
          <w:szCs w:val="21"/>
        </w:rPr>
        <w:t>基金注册登记机构需要留存的材料为：已经生效的司法判决书或司法调解书复印件、当事人双方身份证复印件（司法强制执行除外）、经办人的授权委托书及身份证复印件（司法强制执行除外）、经年检的企业法人营业执照或法人登记代码证复印件（司法强制执行除外）、司法机关及其它有权机关的介绍信原件、经办人执行公务证及身份证件复印件及已生效的协助执行文件原件（当发生司法强制执行时）、填妥的申请表。</w:t>
      </w:r>
    </w:p>
    <w:p w:rsidR="00F22945" w:rsidRDefault="00325CE1">
      <w:pPr>
        <w:spacing w:line="276" w:lineRule="auto"/>
        <w:ind w:firstLineChars="200" w:firstLine="420"/>
        <w:rPr>
          <w:szCs w:val="21"/>
        </w:rPr>
      </w:pPr>
      <w:r>
        <w:rPr>
          <w:rFonts w:hint="eastAsia"/>
          <w:szCs w:val="21"/>
        </w:rPr>
        <w:t>注：销售代理人经办人应当在申请表上注明“已审原件”，经办人及负责人在投资人的申请表上签名，盖代理机构业务专用章，留存申请表的复印件备查后，将</w:t>
      </w:r>
      <w:proofErr w:type="gramStart"/>
      <w:r>
        <w:rPr>
          <w:rFonts w:hint="eastAsia"/>
          <w:szCs w:val="21"/>
        </w:rPr>
        <w:t>非交易</w:t>
      </w:r>
      <w:proofErr w:type="gramEnd"/>
      <w:r>
        <w:rPr>
          <w:rFonts w:hint="eastAsia"/>
          <w:szCs w:val="21"/>
        </w:rPr>
        <w:t>过户的申请</w:t>
      </w:r>
      <w:r>
        <w:rPr>
          <w:rFonts w:hint="eastAsia"/>
          <w:szCs w:val="21"/>
        </w:rPr>
        <w:lastRenderedPageBreak/>
        <w:t>单传真至基金注册登记机构。</w:t>
      </w:r>
    </w:p>
    <w:p w:rsidR="00F22945" w:rsidRDefault="00325CE1">
      <w:pPr>
        <w:spacing w:line="276" w:lineRule="auto"/>
        <w:ind w:firstLineChars="200" w:firstLine="420"/>
        <w:rPr>
          <w:szCs w:val="21"/>
        </w:rPr>
      </w:pPr>
      <w:r>
        <w:rPr>
          <w:rFonts w:hint="eastAsia"/>
          <w:szCs w:val="21"/>
        </w:rPr>
        <w:t>销售代理人</w:t>
      </w:r>
      <w:r>
        <w:rPr>
          <w:rFonts w:ascii="宋体" w:hAnsi="宋体" w:hint="eastAsia"/>
          <w:szCs w:val="21"/>
        </w:rPr>
        <w:t>在下一个工作日（</w:t>
      </w:r>
      <w:r>
        <w:rPr>
          <w:rFonts w:ascii="宋体" w:hAnsi="宋体"/>
          <w:szCs w:val="21"/>
        </w:rPr>
        <w:t>T+1</w:t>
      </w:r>
      <w:r>
        <w:rPr>
          <w:rFonts w:ascii="宋体" w:hAnsi="宋体" w:hint="eastAsia"/>
          <w:szCs w:val="21"/>
        </w:rPr>
        <w:t>日）将</w:t>
      </w:r>
      <w:r>
        <w:rPr>
          <w:rFonts w:ascii="宋体" w:hAnsi="宋体"/>
          <w:szCs w:val="21"/>
        </w:rPr>
        <w:t>T</w:t>
      </w:r>
      <w:r>
        <w:rPr>
          <w:rFonts w:ascii="宋体" w:hAnsi="宋体" w:hint="eastAsia"/>
          <w:szCs w:val="21"/>
        </w:rPr>
        <w:t>日接收的</w:t>
      </w:r>
      <w:proofErr w:type="gramStart"/>
      <w:r>
        <w:rPr>
          <w:rFonts w:ascii="宋体" w:hAnsi="宋体" w:hint="eastAsia"/>
          <w:szCs w:val="21"/>
        </w:rPr>
        <w:t>非交</w:t>
      </w:r>
      <w:r>
        <w:rPr>
          <w:rFonts w:hint="eastAsia"/>
          <w:szCs w:val="21"/>
        </w:rPr>
        <w:t>易</w:t>
      </w:r>
      <w:proofErr w:type="gramEnd"/>
      <w:r>
        <w:rPr>
          <w:rFonts w:hint="eastAsia"/>
          <w:szCs w:val="21"/>
        </w:rPr>
        <w:t>过户申请材料以特快专递方式寄往基金注册登记机构。</w:t>
      </w:r>
    </w:p>
    <w:p w:rsidR="00F22945" w:rsidRDefault="00325CE1">
      <w:pPr>
        <w:spacing w:line="276" w:lineRule="auto"/>
        <w:ind w:firstLineChars="200" w:firstLine="420"/>
        <w:rPr>
          <w:szCs w:val="21"/>
        </w:rPr>
      </w:pPr>
      <w:r>
        <w:rPr>
          <w:rFonts w:hint="eastAsia"/>
          <w:szCs w:val="21"/>
        </w:rPr>
        <w:t>基金注册登记机构于收到申请材料后，在公司法律部门协助下检查申请材料的真实性和有效性，在得到确认后办理</w:t>
      </w:r>
      <w:proofErr w:type="gramStart"/>
      <w:r>
        <w:rPr>
          <w:rFonts w:hint="eastAsia"/>
          <w:szCs w:val="21"/>
        </w:rPr>
        <w:t>非交易</w:t>
      </w:r>
      <w:proofErr w:type="gramEnd"/>
      <w:r>
        <w:rPr>
          <w:rFonts w:hint="eastAsia"/>
          <w:szCs w:val="21"/>
        </w:rPr>
        <w:t>过户所涉及的基金的过户，并打印确认单，将确认单传真返回受理机构。</w:t>
      </w:r>
    </w:p>
    <w:p w:rsidR="00F22945" w:rsidRDefault="00325CE1">
      <w:pPr>
        <w:spacing w:line="276" w:lineRule="auto"/>
        <w:ind w:firstLineChars="200" w:firstLine="420"/>
        <w:rPr>
          <w:szCs w:val="21"/>
        </w:rPr>
      </w:pPr>
      <w:r>
        <w:rPr>
          <w:rFonts w:hint="eastAsia"/>
          <w:szCs w:val="21"/>
        </w:rPr>
        <w:t>（六</w:t>
      </w:r>
      <w:r>
        <w:rPr>
          <w:szCs w:val="21"/>
        </w:rPr>
        <w:t>）投资者类型的转化</w:t>
      </w:r>
    </w:p>
    <w:p w:rsidR="00F22945" w:rsidRDefault="00325CE1">
      <w:pPr>
        <w:spacing w:line="276" w:lineRule="auto"/>
        <w:ind w:firstLineChars="236" w:firstLine="496"/>
        <w:rPr>
          <w:szCs w:val="21"/>
        </w:rPr>
      </w:pPr>
      <w:r>
        <w:rPr>
          <w:rFonts w:hint="eastAsia"/>
          <w:szCs w:val="21"/>
        </w:rPr>
        <w:t>A.</w:t>
      </w:r>
      <w:r>
        <w:rPr>
          <w:rFonts w:hint="eastAsia"/>
          <w:szCs w:val="21"/>
        </w:rPr>
        <w:t>专业</w:t>
      </w:r>
      <w:r>
        <w:rPr>
          <w:szCs w:val="21"/>
        </w:rPr>
        <w:t>投资者转化为</w:t>
      </w:r>
      <w:proofErr w:type="gramStart"/>
      <w:r>
        <w:rPr>
          <w:szCs w:val="21"/>
        </w:rPr>
        <w:t>普通给</w:t>
      </w:r>
      <w:proofErr w:type="gramEnd"/>
      <w:r>
        <w:rPr>
          <w:szCs w:val="21"/>
        </w:rPr>
        <w:t>投资者</w:t>
      </w:r>
    </w:p>
    <w:p w:rsidR="00F22945" w:rsidRDefault="00325CE1">
      <w:pPr>
        <w:spacing w:line="276" w:lineRule="auto"/>
        <w:ind w:firstLineChars="236" w:firstLine="496"/>
        <w:rPr>
          <w:szCs w:val="21"/>
        </w:rPr>
      </w:pPr>
      <w:r>
        <w:rPr>
          <w:rFonts w:hint="eastAsia"/>
          <w:szCs w:val="21"/>
        </w:rPr>
        <w:t>专业投资者转化为普通投资者的，应当遵循以下程序：</w:t>
      </w:r>
    </w:p>
    <w:p w:rsidR="00F22945" w:rsidRDefault="00325CE1">
      <w:pPr>
        <w:spacing w:line="276" w:lineRule="auto"/>
        <w:ind w:firstLineChars="236" w:firstLine="496"/>
        <w:rPr>
          <w:szCs w:val="21"/>
        </w:rPr>
      </w:pPr>
      <w:r>
        <w:rPr>
          <w:rFonts w:hint="eastAsia"/>
          <w:szCs w:val="21"/>
        </w:rPr>
        <w:t>（</w:t>
      </w:r>
      <w:r>
        <w:rPr>
          <w:rFonts w:hint="eastAsia"/>
          <w:szCs w:val="21"/>
        </w:rPr>
        <w:t>1</w:t>
      </w:r>
      <w:r>
        <w:rPr>
          <w:rFonts w:hint="eastAsia"/>
          <w:szCs w:val="21"/>
        </w:rPr>
        <w:t>）符合转化条件的专业投资者，通过提交纸质或者电子的《投资者类型评定及风险能力测评问卷》和《专业投资者转化为普通投资者告知及确认书</w:t>
      </w:r>
      <w:r>
        <w:rPr>
          <w:szCs w:val="21"/>
        </w:rPr>
        <w:t>》</w:t>
      </w:r>
      <w:r>
        <w:rPr>
          <w:rFonts w:hint="eastAsia"/>
          <w:szCs w:val="21"/>
        </w:rPr>
        <w:t>告知直销柜台其转化为普通投资者的决定；</w:t>
      </w:r>
    </w:p>
    <w:p w:rsidR="00F22945" w:rsidRDefault="00325CE1">
      <w:pPr>
        <w:spacing w:line="276" w:lineRule="auto"/>
        <w:ind w:firstLineChars="236" w:firstLine="496"/>
        <w:rPr>
          <w:szCs w:val="21"/>
        </w:rPr>
      </w:pPr>
      <w:r>
        <w:rPr>
          <w:rFonts w:hint="eastAsia"/>
          <w:szCs w:val="21"/>
        </w:rPr>
        <w:t>（</w:t>
      </w:r>
      <w:r>
        <w:rPr>
          <w:rFonts w:hint="eastAsia"/>
          <w:szCs w:val="21"/>
        </w:rPr>
        <w:t>2</w:t>
      </w:r>
      <w:r>
        <w:rPr>
          <w:rFonts w:hint="eastAsia"/>
          <w:szCs w:val="21"/>
        </w:rPr>
        <w:t>）直销柜台应当在收到投资者转化申请</w:t>
      </w:r>
      <w:r>
        <w:rPr>
          <w:szCs w:val="21"/>
        </w:rPr>
        <w:t>5</w:t>
      </w:r>
      <w:r>
        <w:rPr>
          <w:szCs w:val="21"/>
        </w:rPr>
        <w:t>个工作日内，对投资者的转化资格进行核实</w:t>
      </w:r>
      <w:r>
        <w:rPr>
          <w:rFonts w:hint="eastAsia"/>
          <w:szCs w:val="21"/>
        </w:rPr>
        <w:t>；</w:t>
      </w:r>
    </w:p>
    <w:p w:rsidR="00F22945" w:rsidRDefault="00325CE1">
      <w:pPr>
        <w:spacing w:line="276" w:lineRule="auto"/>
        <w:ind w:firstLineChars="236" w:firstLine="496"/>
        <w:rPr>
          <w:szCs w:val="21"/>
        </w:rPr>
      </w:pPr>
      <w:r>
        <w:rPr>
          <w:rFonts w:hint="eastAsia"/>
          <w:szCs w:val="21"/>
        </w:rPr>
        <w:t>（</w:t>
      </w:r>
      <w:r>
        <w:rPr>
          <w:rFonts w:hint="eastAsia"/>
          <w:szCs w:val="21"/>
        </w:rPr>
        <w:t>3</w:t>
      </w:r>
      <w:r>
        <w:rPr>
          <w:szCs w:val="21"/>
        </w:rPr>
        <w:t>）</w:t>
      </w:r>
      <w:r>
        <w:rPr>
          <w:rFonts w:hint="eastAsia"/>
          <w:szCs w:val="21"/>
        </w:rPr>
        <w:t>直销柜台应当在核实工作结束之日起</w:t>
      </w:r>
      <w:r>
        <w:rPr>
          <w:szCs w:val="21"/>
        </w:rPr>
        <w:t>5</w:t>
      </w:r>
      <w:r>
        <w:rPr>
          <w:szCs w:val="21"/>
        </w:rPr>
        <w:t>个工作日内，</w:t>
      </w:r>
      <w:r>
        <w:rPr>
          <w:rFonts w:hint="eastAsia"/>
          <w:szCs w:val="21"/>
        </w:rPr>
        <w:t>将</w:t>
      </w:r>
      <w:r>
        <w:rPr>
          <w:szCs w:val="21"/>
        </w:rPr>
        <w:t>带有</w:t>
      </w:r>
      <w:r>
        <w:rPr>
          <w:rFonts w:hint="eastAsia"/>
          <w:szCs w:val="21"/>
        </w:rPr>
        <w:t>核实</w:t>
      </w:r>
      <w:r>
        <w:rPr>
          <w:szCs w:val="21"/>
        </w:rPr>
        <w:t>意见的</w:t>
      </w:r>
      <w:r>
        <w:rPr>
          <w:rFonts w:hint="eastAsia"/>
          <w:szCs w:val="21"/>
        </w:rPr>
        <w:t>《投资者类型评定及风险能力测评问卷》和《专业投资者转化为普通投资者告知及确认书</w:t>
      </w:r>
      <w:r>
        <w:rPr>
          <w:szCs w:val="21"/>
        </w:rPr>
        <w:t>》</w:t>
      </w:r>
      <w:r>
        <w:rPr>
          <w:rFonts w:hint="eastAsia"/>
          <w:szCs w:val="21"/>
        </w:rPr>
        <w:t>返还</w:t>
      </w:r>
      <w:r>
        <w:rPr>
          <w:szCs w:val="21"/>
        </w:rPr>
        <w:t>给投资者</w:t>
      </w:r>
      <w:r>
        <w:rPr>
          <w:rFonts w:hint="eastAsia"/>
          <w:szCs w:val="21"/>
        </w:rPr>
        <w:t>，告知投资者核实结果。</w:t>
      </w:r>
    </w:p>
    <w:p w:rsidR="00F22945" w:rsidRDefault="00325CE1">
      <w:pPr>
        <w:pStyle w:val="12"/>
        <w:spacing w:line="276" w:lineRule="auto"/>
        <w:ind w:left="420" w:firstLineChars="0" w:firstLine="0"/>
        <w:rPr>
          <w:rFonts w:ascii="Calibri" w:eastAsia="宋体" w:hAnsi="Calibri" w:cs="Times New Roman"/>
          <w:kern w:val="2"/>
          <w:sz w:val="21"/>
          <w:szCs w:val="21"/>
        </w:rPr>
      </w:pPr>
      <w:r>
        <w:rPr>
          <w:rFonts w:ascii="Calibri" w:eastAsia="宋体" w:hAnsi="Calibri" w:cs="Times New Roman" w:hint="eastAsia"/>
          <w:kern w:val="2"/>
          <w:sz w:val="21"/>
          <w:szCs w:val="21"/>
        </w:rPr>
        <w:t>B.</w:t>
      </w:r>
      <w:r>
        <w:rPr>
          <w:rFonts w:ascii="Calibri" w:eastAsia="宋体" w:hAnsi="Calibri" w:cs="Times New Roman" w:hint="eastAsia"/>
          <w:kern w:val="2"/>
          <w:sz w:val="21"/>
          <w:szCs w:val="21"/>
        </w:rPr>
        <w:t>普通</w:t>
      </w:r>
      <w:r>
        <w:rPr>
          <w:rFonts w:ascii="Calibri" w:eastAsia="宋体" w:hAnsi="Calibri" w:cs="Times New Roman"/>
          <w:kern w:val="2"/>
          <w:sz w:val="21"/>
          <w:szCs w:val="21"/>
        </w:rPr>
        <w:t>投资者转化为</w:t>
      </w:r>
      <w:r>
        <w:rPr>
          <w:rFonts w:ascii="Calibri" w:eastAsia="宋体" w:hAnsi="Calibri" w:cs="Times New Roman" w:hint="eastAsia"/>
          <w:kern w:val="2"/>
          <w:sz w:val="21"/>
          <w:szCs w:val="21"/>
        </w:rPr>
        <w:t>专业</w:t>
      </w:r>
      <w:r>
        <w:rPr>
          <w:rFonts w:ascii="Calibri" w:eastAsia="宋体" w:hAnsi="Calibri" w:cs="Times New Roman"/>
          <w:kern w:val="2"/>
          <w:sz w:val="21"/>
          <w:szCs w:val="21"/>
        </w:rPr>
        <w:t>投资者</w:t>
      </w:r>
    </w:p>
    <w:p w:rsidR="00F22945" w:rsidRDefault="00325CE1">
      <w:pPr>
        <w:pStyle w:val="12"/>
        <w:spacing w:line="276" w:lineRule="auto"/>
        <w:ind w:left="420" w:firstLineChars="0" w:firstLine="0"/>
        <w:rPr>
          <w:rFonts w:ascii="Calibri" w:eastAsia="宋体" w:hAnsi="Calibri" w:cs="Times New Roman"/>
          <w:kern w:val="2"/>
          <w:sz w:val="21"/>
          <w:szCs w:val="21"/>
        </w:rPr>
      </w:pPr>
      <w:r>
        <w:rPr>
          <w:rFonts w:ascii="Calibri" w:eastAsia="宋体" w:hAnsi="Calibri" w:cs="Times New Roman" w:hint="eastAsia"/>
          <w:kern w:val="2"/>
          <w:sz w:val="21"/>
          <w:szCs w:val="21"/>
        </w:rPr>
        <w:t>1</w:t>
      </w:r>
      <w:r>
        <w:rPr>
          <w:rFonts w:ascii="Calibri" w:eastAsia="宋体" w:hAnsi="Calibri" w:cs="Times New Roman" w:hint="eastAsia"/>
          <w:kern w:val="2"/>
          <w:sz w:val="21"/>
          <w:szCs w:val="21"/>
        </w:rPr>
        <w:t>、普通投资者转化为专业投资者的，应当遵循以下程序：</w:t>
      </w:r>
    </w:p>
    <w:p w:rsidR="00F22945" w:rsidRDefault="00325CE1">
      <w:pPr>
        <w:pStyle w:val="12"/>
        <w:spacing w:line="276" w:lineRule="auto"/>
        <w:ind w:firstLineChars="175" w:firstLine="368"/>
        <w:rPr>
          <w:rFonts w:ascii="Calibri" w:eastAsia="宋体" w:hAnsi="Calibri" w:cs="Times New Roman"/>
          <w:kern w:val="2"/>
          <w:sz w:val="21"/>
          <w:szCs w:val="21"/>
        </w:rPr>
      </w:pPr>
      <w:r>
        <w:rPr>
          <w:rFonts w:ascii="Calibri" w:eastAsia="宋体" w:hAnsi="Calibri" w:cs="Times New Roman" w:hint="eastAsia"/>
          <w:kern w:val="2"/>
          <w:sz w:val="21"/>
          <w:szCs w:val="21"/>
        </w:rPr>
        <w:t>（</w:t>
      </w:r>
      <w:r>
        <w:rPr>
          <w:rFonts w:ascii="Calibri" w:eastAsia="宋体" w:hAnsi="Calibri" w:cs="Times New Roman" w:hint="eastAsia"/>
          <w:kern w:val="2"/>
          <w:sz w:val="21"/>
          <w:szCs w:val="21"/>
        </w:rPr>
        <w:t>1</w:t>
      </w:r>
      <w:r>
        <w:rPr>
          <w:rFonts w:ascii="Calibri" w:eastAsia="宋体" w:hAnsi="Calibri" w:cs="Times New Roman" w:hint="eastAsia"/>
          <w:kern w:val="2"/>
          <w:sz w:val="21"/>
          <w:szCs w:val="21"/>
        </w:rPr>
        <w:t>）符合转化条件的普通投资者，应当提交纸质或者电子的《投资者类型评定及风险能力测评问卷》和《普通投资者转化为专业投资者申请及确认书</w:t>
      </w:r>
      <w:r>
        <w:rPr>
          <w:rFonts w:ascii="Calibri" w:eastAsia="宋体" w:hAnsi="Calibri" w:cs="Times New Roman"/>
          <w:kern w:val="2"/>
          <w:sz w:val="21"/>
          <w:szCs w:val="21"/>
        </w:rPr>
        <w:t>》</w:t>
      </w:r>
      <w:r>
        <w:rPr>
          <w:rFonts w:ascii="Calibri" w:eastAsia="宋体" w:hAnsi="Calibri" w:cs="Times New Roman" w:hint="eastAsia"/>
          <w:kern w:val="2"/>
          <w:sz w:val="21"/>
          <w:szCs w:val="21"/>
        </w:rPr>
        <w:t>向基金募集机构提出转化申请，同时还应当向直销柜台做出了解相应风险并自愿承担相应不利后果的意思表示；</w:t>
      </w:r>
    </w:p>
    <w:p w:rsidR="00F22945" w:rsidRDefault="00325CE1">
      <w:pPr>
        <w:pStyle w:val="12"/>
        <w:spacing w:line="276" w:lineRule="auto"/>
        <w:ind w:firstLineChars="175" w:firstLine="368"/>
        <w:rPr>
          <w:rFonts w:ascii="Calibri" w:eastAsia="宋体" w:hAnsi="Calibri" w:cs="Times New Roman"/>
          <w:kern w:val="2"/>
          <w:sz w:val="21"/>
          <w:szCs w:val="21"/>
        </w:rPr>
      </w:pPr>
      <w:r>
        <w:rPr>
          <w:rFonts w:ascii="Calibri" w:eastAsia="宋体" w:hAnsi="Calibri" w:cs="Times New Roman" w:hint="eastAsia"/>
          <w:kern w:val="2"/>
          <w:sz w:val="21"/>
          <w:szCs w:val="21"/>
        </w:rPr>
        <w:t>（</w:t>
      </w:r>
      <w:r>
        <w:rPr>
          <w:rFonts w:ascii="Calibri" w:eastAsia="宋体" w:hAnsi="Calibri" w:cs="Times New Roman" w:hint="eastAsia"/>
          <w:kern w:val="2"/>
          <w:sz w:val="21"/>
          <w:szCs w:val="21"/>
        </w:rPr>
        <w:t>2</w:t>
      </w:r>
      <w:r>
        <w:rPr>
          <w:rFonts w:ascii="Calibri" w:eastAsia="宋体" w:hAnsi="Calibri" w:cs="Times New Roman" w:hint="eastAsia"/>
          <w:kern w:val="2"/>
          <w:sz w:val="21"/>
          <w:szCs w:val="21"/>
        </w:rPr>
        <w:t>）直销柜台应当在收到投资者转化申请之日起</w:t>
      </w:r>
      <w:r>
        <w:rPr>
          <w:rFonts w:ascii="Calibri" w:eastAsia="宋体" w:hAnsi="Calibri" w:cs="Times New Roman" w:hint="eastAsia"/>
          <w:kern w:val="2"/>
          <w:sz w:val="21"/>
          <w:szCs w:val="21"/>
        </w:rPr>
        <w:t>5</w:t>
      </w:r>
      <w:r>
        <w:rPr>
          <w:rFonts w:ascii="Calibri" w:eastAsia="宋体" w:hAnsi="Calibri" w:cs="Times New Roman" w:hint="eastAsia"/>
          <w:kern w:val="2"/>
          <w:sz w:val="21"/>
          <w:szCs w:val="21"/>
        </w:rPr>
        <w:t>个工作日内，对投资者的转化资格进行核实；</w:t>
      </w:r>
    </w:p>
    <w:p w:rsidR="00F22945" w:rsidRDefault="00325CE1">
      <w:pPr>
        <w:pStyle w:val="12"/>
        <w:spacing w:line="276" w:lineRule="auto"/>
        <w:ind w:firstLineChars="175" w:firstLine="368"/>
        <w:rPr>
          <w:rFonts w:ascii="Calibri" w:eastAsia="宋体" w:hAnsi="Calibri" w:cs="Times New Roman"/>
          <w:kern w:val="2"/>
          <w:sz w:val="21"/>
          <w:szCs w:val="21"/>
        </w:rPr>
      </w:pPr>
      <w:r>
        <w:rPr>
          <w:rFonts w:ascii="Calibri" w:eastAsia="宋体" w:hAnsi="Calibri" w:cs="Times New Roman" w:hint="eastAsia"/>
          <w:kern w:val="2"/>
          <w:sz w:val="21"/>
          <w:szCs w:val="21"/>
        </w:rPr>
        <w:t>（</w:t>
      </w:r>
      <w:r>
        <w:rPr>
          <w:rFonts w:ascii="Calibri" w:eastAsia="宋体" w:hAnsi="Calibri" w:cs="Times New Roman" w:hint="eastAsia"/>
          <w:kern w:val="2"/>
          <w:sz w:val="21"/>
          <w:szCs w:val="21"/>
        </w:rPr>
        <w:t>3</w:t>
      </w:r>
      <w:r>
        <w:rPr>
          <w:rFonts w:ascii="Calibri" w:eastAsia="宋体" w:hAnsi="Calibri" w:cs="Times New Roman" w:hint="eastAsia"/>
          <w:kern w:val="2"/>
          <w:sz w:val="21"/>
          <w:szCs w:val="21"/>
        </w:rPr>
        <w:t>）对于符合转化条件的，直销柜台在核实工作结束之日起</w:t>
      </w:r>
      <w:r>
        <w:rPr>
          <w:rFonts w:ascii="Calibri" w:eastAsia="宋体" w:hAnsi="Calibri" w:cs="Times New Roman" w:hint="eastAsia"/>
          <w:kern w:val="2"/>
          <w:sz w:val="21"/>
          <w:szCs w:val="21"/>
        </w:rPr>
        <w:t>5</w:t>
      </w:r>
      <w:r>
        <w:rPr>
          <w:rFonts w:ascii="Calibri" w:eastAsia="宋体" w:hAnsi="Calibri" w:cs="Times New Roman" w:hint="eastAsia"/>
          <w:kern w:val="2"/>
          <w:sz w:val="21"/>
          <w:szCs w:val="21"/>
        </w:rPr>
        <w:t>个工作日内，通知投资者以纸质或者电子文档形式补充提交相关信息、参加投资知识测试《普通投资者转化为专业投资者的投资知识测试问卷</w:t>
      </w:r>
      <w:r>
        <w:rPr>
          <w:rFonts w:ascii="Calibri" w:eastAsia="宋体" w:hAnsi="Calibri" w:cs="Times New Roman"/>
          <w:kern w:val="2"/>
          <w:sz w:val="21"/>
          <w:szCs w:val="21"/>
        </w:rPr>
        <w:t>》</w:t>
      </w:r>
      <w:r>
        <w:rPr>
          <w:rFonts w:ascii="Calibri" w:eastAsia="宋体" w:hAnsi="Calibri" w:cs="Times New Roman" w:hint="eastAsia"/>
          <w:kern w:val="2"/>
          <w:sz w:val="21"/>
          <w:szCs w:val="21"/>
        </w:rPr>
        <w:t>；</w:t>
      </w:r>
    </w:p>
    <w:p w:rsidR="00F22945" w:rsidRDefault="00325CE1">
      <w:pPr>
        <w:pStyle w:val="12"/>
        <w:spacing w:line="276" w:lineRule="auto"/>
        <w:ind w:firstLineChars="175" w:firstLine="368"/>
        <w:rPr>
          <w:rFonts w:ascii="Calibri" w:eastAsia="宋体" w:hAnsi="Calibri" w:cs="Times New Roman"/>
          <w:kern w:val="2"/>
          <w:sz w:val="21"/>
          <w:szCs w:val="21"/>
        </w:rPr>
      </w:pPr>
      <w:r>
        <w:rPr>
          <w:rFonts w:ascii="Calibri" w:eastAsia="宋体" w:hAnsi="Calibri" w:cs="Times New Roman" w:hint="eastAsia"/>
          <w:kern w:val="2"/>
          <w:sz w:val="21"/>
          <w:szCs w:val="21"/>
        </w:rPr>
        <w:t>（</w:t>
      </w:r>
      <w:r>
        <w:rPr>
          <w:rFonts w:ascii="Calibri" w:eastAsia="宋体" w:hAnsi="Calibri" w:cs="Times New Roman" w:hint="eastAsia"/>
          <w:kern w:val="2"/>
          <w:sz w:val="21"/>
          <w:szCs w:val="21"/>
        </w:rPr>
        <w:t>4</w:t>
      </w:r>
      <w:r>
        <w:rPr>
          <w:rFonts w:ascii="Calibri" w:eastAsia="宋体" w:hAnsi="Calibri" w:cs="Times New Roman" w:hint="eastAsia"/>
          <w:kern w:val="2"/>
          <w:sz w:val="21"/>
          <w:szCs w:val="21"/>
        </w:rPr>
        <w:t>）直销柜台根据以上情况，结合投资者的风险承受能力、投资知识、投资经验、投资偏好等要素，对申请者进行谨慎评估，《普通投资者转化为专业投资者的投资知识测试问卷</w:t>
      </w:r>
      <w:r>
        <w:rPr>
          <w:rFonts w:ascii="Calibri" w:eastAsia="宋体" w:hAnsi="Calibri" w:cs="Times New Roman"/>
          <w:kern w:val="2"/>
          <w:sz w:val="21"/>
          <w:szCs w:val="21"/>
        </w:rPr>
        <w:t>》</w:t>
      </w:r>
      <w:r>
        <w:rPr>
          <w:rFonts w:ascii="Calibri" w:eastAsia="宋体" w:hAnsi="Calibri" w:cs="Times New Roman" w:hint="eastAsia"/>
          <w:kern w:val="2"/>
          <w:sz w:val="21"/>
          <w:szCs w:val="21"/>
        </w:rPr>
        <w:t>的</w:t>
      </w:r>
      <w:r>
        <w:rPr>
          <w:rFonts w:ascii="Calibri" w:eastAsia="宋体" w:hAnsi="Calibri" w:cs="Times New Roman"/>
          <w:kern w:val="2"/>
          <w:sz w:val="21"/>
          <w:szCs w:val="21"/>
        </w:rPr>
        <w:t>得分</w:t>
      </w:r>
      <w:r>
        <w:rPr>
          <w:rFonts w:ascii="Calibri" w:eastAsia="宋体" w:hAnsi="Calibri" w:cs="Times New Roman" w:hint="eastAsia"/>
          <w:kern w:val="2"/>
          <w:sz w:val="21"/>
          <w:szCs w:val="21"/>
        </w:rPr>
        <w:t>应该</w:t>
      </w:r>
      <w:r>
        <w:rPr>
          <w:rFonts w:ascii="Calibri" w:eastAsia="宋体" w:hAnsi="Calibri" w:cs="Times New Roman"/>
          <w:kern w:val="2"/>
          <w:sz w:val="21"/>
          <w:szCs w:val="21"/>
        </w:rPr>
        <w:t>在</w:t>
      </w:r>
      <w:r>
        <w:rPr>
          <w:rFonts w:ascii="Calibri" w:eastAsia="宋体" w:hAnsi="Calibri" w:cs="Times New Roman" w:hint="eastAsia"/>
          <w:kern w:val="2"/>
          <w:sz w:val="21"/>
          <w:szCs w:val="21"/>
        </w:rPr>
        <w:t>80</w:t>
      </w:r>
      <w:r>
        <w:rPr>
          <w:rFonts w:ascii="Calibri" w:eastAsia="宋体" w:hAnsi="Calibri" w:cs="Times New Roman" w:hint="eastAsia"/>
          <w:kern w:val="2"/>
          <w:sz w:val="21"/>
          <w:szCs w:val="21"/>
        </w:rPr>
        <w:t>分</w:t>
      </w:r>
      <w:r>
        <w:rPr>
          <w:rFonts w:ascii="Calibri" w:eastAsia="宋体" w:hAnsi="Calibri" w:cs="Times New Roman"/>
          <w:kern w:val="2"/>
          <w:sz w:val="21"/>
          <w:szCs w:val="21"/>
        </w:rPr>
        <w:t>以上</w:t>
      </w:r>
      <w:r>
        <w:rPr>
          <w:rFonts w:ascii="Calibri" w:eastAsia="宋体" w:hAnsi="Calibri" w:cs="Times New Roman" w:hint="eastAsia"/>
          <w:kern w:val="2"/>
          <w:sz w:val="21"/>
          <w:szCs w:val="21"/>
        </w:rPr>
        <w:t>；</w:t>
      </w:r>
    </w:p>
    <w:p w:rsidR="00F22945" w:rsidRDefault="00325CE1">
      <w:pPr>
        <w:pStyle w:val="12"/>
        <w:spacing w:line="276" w:lineRule="auto"/>
        <w:ind w:firstLineChars="175" w:firstLine="368"/>
        <w:rPr>
          <w:rFonts w:ascii="Calibri" w:eastAsia="宋体" w:hAnsi="Calibri" w:cs="Times New Roman"/>
          <w:kern w:val="2"/>
          <w:sz w:val="21"/>
          <w:szCs w:val="21"/>
        </w:rPr>
      </w:pPr>
      <w:r>
        <w:rPr>
          <w:rFonts w:ascii="Calibri" w:eastAsia="宋体" w:hAnsi="Calibri" w:cs="Times New Roman" w:hint="eastAsia"/>
          <w:kern w:val="2"/>
          <w:sz w:val="21"/>
          <w:szCs w:val="21"/>
        </w:rPr>
        <w:t>（</w:t>
      </w:r>
      <w:r>
        <w:rPr>
          <w:rFonts w:ascii="Calibri" w:eastAsia="宋体" w:hAnsi="Calibri" w:cs="Times New Roman" w:hint="eastAsia"/>
          <w:kern w:val="2"/>
          <w:sz w:val="21"/>
          <w:szCs w:val="21"/>
        </w:rPr>
        <w:t>5</w:t>
      </w:r>
      <w:r>
        <w:rPr>
          <w:rFonts w:ascii="Calibri" w:eastAsia="宋体" w:hAnsi="Calibri" w:cs="Times New Roman" w:hint="eastAsia"/>
          <w:kern w:val="2"/>
          <w:sz w:val="21"/>
          <w:szCs w:val="21"/>
        </w:rPr>
        <w:t>）直销柜台</w:t>
      </w:r>
      <w:r>
        <w:rPr>
          <w:rFonts w:ascii="Calibri" w:eastAsia="宋体" w:hAnsi="Calibri" w:cs="Times New Roman"/>
          <w:kern w:val="2"/>
          <w:sz w:val="21"/>
          <w:szCs w:val="21"/>
        </w:rPr>
        <w:t>应当在评估工作结束之日起</w:t>
      </w:r>
      <w:r>
        <w:rPr>
          <w:rFonts w:ascii="Calibri" w:eastAsia="宋体" w:hAnsi="Calibri" w:cs="Times New Roman" w:hint="eastAsia"/>
          <w:kern w:val="2"/>
          <w:sz w:val="21"/>
          <w:szCs w:val="21"/>
        </w:rPr>
        <w:t>5</w:t>
      </w:r>
      <w:r>
        <w:rPr>
          <w:rFonts w:ascii="Calibri" w:eastAsia="宋体" w:hAnsi="Calibri" w:cs="Times New Roman" w:hint="eastAsia"/>
          <w:kern w:val="2"/>
          <w:sz w:val="21"/>
          <w:szCs w:val="21"/>
        </w:rPr>
        <w:t>个工作日内，将</w:t>
      </w:r>
      <w:r>
        <w:rPr>
          <w:rFonts w:ascii="Calibri" w:eastAsia="宋体" w:hAnsi="Calibri" w:cs="Times New Roman"/>
          <w:kern w:val="2"/>
          <w:sz w:val="21"/>
          <w:szCs w:val="21"/>
        </w:rPr>
        <w:t>带有</w:t>
      </w:r>
      <w:r>
        <w:rPr>
          <w:rFonts w:ascii="Calibri" w:eastAsia="宋体" w:hAnsi="Calibri" w:cs="Times New Roman" w:hint="eastAsia"/>
          <w:kern w:val="2"/>
          <w:sz w:val="21"/>
          <w:szCs w:val="21"/>
        </w:rPr>
        <w:t>核实</w:t>
      </w:r>
      <w:r>
        <w:rPr>
          <w:rFonts w:ascii="Calibri" w:eastAsia="宋体" w:hAnsi="Calibri" w:cs="Times New Roman"/>
          <w:kern w:val="2"/>
          <w:sz w:val="21"/>
          <w:szCs w:val="21"/>
        </w:rPr>
        <w:t>意见的</w:t>
      </w:r>
      <w:r>
        <w:rPr>
          <w:rFonts w:ascii="Calibri" w:eastAsia="宋体" w:hAnsi="Calibri" w:cs="Times New Roman" w:hint="eastAsia"/>
          <w:kern w:val="2"/>
          <w:sz w:val="21"/>
          <w:szCs w:val="21"/>
        </w:rPr>
        <w:t>《投资者类型评定及风险能力测评问卷》和《普通投资者转化为专业投资者申请及确认书</w:t>
      </w:r>
      <w:r>
        <w:rPr>
          <w:rFonts w:ascii="Calibri" w:eastAsia="宋体" w:hAnsi="Calibri" w:cs="Times New Roman"/>
          <w:kern w:val="2"/>
          <w:sz w:val="21"/>
          <w:szCs w:val="21"/>
        </w:rPr>
        <w:t>》</w:t>
      </w:r>
      <w:r>
        <w:rPr>
          <w:rFonts w:ascii="Calibri" w:eastAsia="宋体" w:hAnsi="Calibri" w:cs="Times New Roman" w:hint="eastAsia"/>
          <w:kern w:val="2"/>
          <w:sz w:val="21"/>
          <w:szCs w:val="21"/>
        </w:rPr>
        <w:t>返还</w:t>
      </w:r>
      <w:r>
        <w:rPr>
          <w:rFonts w:ascii="Calibri" w:eastAsia="宋体" w:hAnsi="Calibri" w:cs="Times New Roman"/>
          <w:kern w:val="2"/>
          <w:sz w:val="21"/>
          <w:szCs w:val="21"/>
        </w:rPr>
        <w:t>给投资者</w:t>
      </w:r>
      <w:r>
        <w:rPr>
          <w:rFonts w:ascii="Calibri" w:eastAsia="宋体" w:hAnsi="Calibri" w:cs="Times New Roman" w:hint="eastAsia"/>
          <w:kern w:val="2"/>
          <w:sz w:val="21"/>
          <w:szCs w:val="21"/>
        </w:rPr>
        <w:t>，告知投资者是否同意其转化的决定以及理由；</w:t>
      </w:r>
    </w:p>
    <w:p w:rsidR="00F22945" w:rsidRDefault="00325CE1">
      <w:pPr>
        <w:pStyle w:val="12"/>
        <w:spacing w:line="276" w:lineRule="auto"/>
        <w:ind w:firstLineChars="175" w:firstLine="368"/>
        <w:rPr>
          <w:rFonts w:ascii="Calibri" w:eastAsia="宋体" w:hAnsi="Calibri" w:cs="Times New Roman"/>
          <w:kern w:val="2"/>
          <w:sz w:val="21"/>
          <w:szCs w:val="21"/>
        </w:rPr>
      </w:pPr>
      <w:r>
        <w:rPr>
          <w:rFonts w:ascii="Calibri" w:eastAsia="宋体" w:hAnsi="Calibri" w:cs="Times New Roman" w:hint="eastAsia"/>
          <w:kern w:val="2"/>
          <w:sz w:val="21"/>
          <w:szCs w:val="21"/>
        </w:rPr>
        <w:t>（</w:t>
      </w:r>
      <w:r>
        <w:rPr>
          <w:rFonts w:ascii="Calibri" w:eastAsia="宋体" w:hAnsi="Calibri" w:cs="Times New Roman" w:hint="eastAsia"/>
          <w:kern w:val="2"/>
          <w:sz w:val="21"/>
          <w:szCs w:val="21"/>
        </w:rPr>
        <w:t>6</w:t>
      </w:r>
      <w:r>
        <w:rPr>
          <w:rFonts w:ascii="Calibri" w:eastAsia="宋体" w:hAnsi="Calibri" w:cs="Times New Roman" w:hint="eastAsia"/>
          <w:kern w:val="2"/>
          <w:sz w:val="21"/>
          <w:szCs w:val="21"/>
        </w:rPr>
        <w:t>）基金募集机构不同意普通投资者转化的，该投资者自收到不同意转化决定之日起</w:t>
      </w:r>
      <w:r>
        <w:rPr>
          <w:rFonts w:ascii="Calibri" w:eastAsia="宋体" w:hAnsi="Calibri" w:cs="Times New Roman" w:hint="eastAsia"/>
          <w:kern w:val="2"/>
          <w:sz w:val="21"/>
          <w:szCs w:val="21"/>
        </w:rPr>
        <w:t>1</w:t>
      </w:r>
      <w:r>
        <w:rPr>
          <w:rFonts w:ascii="Calibri" w:eastAsia="宋体" w:hAnsi="Calibri" w:cs="Times New Roman" w:hint="eastAsia"/>
          <w:kern w:val="2"/>
          <w:sz w:val="21"/>
          <w:szCs w:val="21"/>
        </w:rPr>
        <w:t>年内，不得向同一基金募集机构再次申请转化为专业投资者。</w:t>
      </w:r>
    </w:p>
    <w:p w:rsidR="00F22945" w:rsidRDefault="00325CE1">
      <w:pPr>
        <w:spacing w:line="276" w:lineRule="auto"/>
        <w:ind w:firstLineChars="236" w:firstLine="496"/>
        <w:rPr>
          <w:szCs w:val="21"/>
        </w:rPr>
      </w:pPr>
      <w:r>
        <w:rPr>
          <w:szCs w:val="21"/>
        </w:rPr>
        <w:lastRenderedPageBreak/>
        <w:t>C.</w:t>
      </w:r>
      <w:r>
        <w:rPr>
          <w:rFonts w:hint="eastAsia"/>
          <w:szCs w:val="21"/>
        </w:rPr>
        <w:t>个人</w:t>
      </w:r>
      <w:r>
        <w:rPr>
          <w:szCs w:val="21"/>
        </w:rPr>
        <w:t>投资者应该提供的资料</w:t>
      </w:r>
      <w:r>
        <w:rPr>
          <w:rFonts w:hint="eastAsia"/>
          <w:szCs w:val="21"/>
        </w:rPr>
        <w:t>：</w:t>
      </w:r>
    </w:p>
    <w:p w:rsidR="00F22945" w:rsidRDefault="00325CE1">
      <w:pPr>
        <w:numPr>
          <w:ilvl w:val="0"/>
          <w:numId w:val="14"/>
        </w:numPr>
        <w:tabs>
          <w:tab w:val="left" w:pos="993"/>
        </w:tabs>
        <w:spacing w:line="276" w:lineRule="auto"/>
        <w:ind w:rightChars="-7" w:right="-15"/>
        <w:rPr>
          <w:szCs w:val="21"/>
        </w:rPr>
      </w:pPr>
      <w:r>
        <w:rPr>
          <w:rFonts w:hint="eastAsia"/>
          <w:szCs w:val="21"/>
        </w:rPr>
        <w:t>金融</w:t>
      </w:r>
      <w:r>
        <w:rPr>
          <w:szCs w:val="21"/>
        </w:rPr>
        <w:t>资产证明</w:t>
      </w:r>
      <w:r>
        <w:rPr>
          <w:rFonts w:hint="eastAsia"/>
          <w:szCs w:val="21"/>
        </w:rPr>
        <w:t>及近</w:t>
      </w:r>
      <w:r>
        <w:rPr>
          <w:szCs w:val="21"/>
        </w:rPr>
        <w:t>3</w:t>
      </w:r>
      <w:r>
        <w:rPr>
          <w:rFonts w:hint="eastAsia"/>
          <w:szCs w:val="21"/>
        </w:rPr>
        <w:t>年个人</w:t>
      </w:r>
      <w:r>
        <w:rPr>
          <w:szCs w:val="21"/>
        </w:rPr>
        <w:t>收入证明</w:t>
      </w:r>
      <w:r>
        <w:rPr>
          <w:rFonts w:hint="eastAsia"/>
          <w:szCs w:val="21"/>
        </w:rPr>
        <w:t>；</w:t>
      </w:r>
    </w:p>
    <w:p w:rsidR="00F22945" w:rsidRDefault="00325CE1">
      <w:pPr>
        <w:numPr>
          <w:ilvl w:val="0"/>
          <w:numId w:val="14"/>
        </w:numPr>
        <w:tabs>
          <w:tab w:val="left" w:pos="993"/>
        </w:tabs>
        <w:spacing w:line="276" w:lineRule="auto"/>
        <w:ind w:rightChars="-7" w:right="-15"/>
        <w:rPr>
          <w:szCs w:val="21"/>
        </w:rPr>
      </w:pPr>
      <w:r>
        <w:rPr>
          <w:rFonts w:hint="eastAsia"/>
          <w:szCs w:val="21"/>
        </w:rPr>
        <w:t>投资经历或投资相关</w:t>
      </w:r>
      <w:r>
        <w:rPr>
          <w:szCs w:val="21"/>
        </w:rPr>
        <w:t>工作经验</w:t>
      </w:r>
      <w:r>
        <w:rPr>
          <w:rFonts w:hint="eastAsia"/>
          <w:szCs w:val="21"/>
        </w:rPr>
        <w:t>的证明</w:t>
      </w:r>
      <w:r>
        <w:rPr>
          <w:szCs w:val="21"/>
        </w:rPr>
        <w:t>文件</w:t>
      </w:r>
      <w:r>
        <w:rPr>
          <w:rFonts w:hint="eastAsia"/>
          <w:szCs w:val="21"/>
        </w:rPr>
        <w:t>或职业资格证书等；</w:t>
      </w:r>
    </w:p>
    <w:p w:rsidR="00F22945" w:rsidRDefault="00325CE1">
      <w:pPr>
        <w:numPr>
          <w:ilvl w:val="0"/>
          <w:numId w:val="14"/>
        </w:numPr>
        <w:tabs>
          <w:tab w:val="left" w:pos="993"/>
        </w:tabs>
        <w:spacing w:line="276" w:lineRule="auto"/>
        <w:ind w:rightChars="-7" w:right="-15"/>
        <w:rPr>
          <w:szCs w:val="21"/>
        </w:rPr>
      </w:pPr>
      <w:r>
        <w:rPr>
          <w:rFonts w:hint="eastAsia"/>
          <w:szCs w:val="21"/>
        </w:rPr>
        <w:t>填妥的《投资者类型评定及风险能力测评问卷》；</w:t>
      </w:r>
    </w:p>
    <w:p w:rsidR="00F22945" w:rsidRDefault="00325CE1">
      <w:pPr>
        <w:numPr>
          <w:ilvl w:val="0"/>
          <w:numId w:val="14"/>
        </w:numPr>
        <w:tabs>
          <w:tab w:val="left" w:pos="993"/>
        </w:tabs>
        <w:spacing w:line="276" w:lineRule="auto"/>
        <w:ind w:rightChars="-7" w:right="-15"/>
        <w:rPr>
          <w:szCs w:val="21"/>
        </w:rPr>
      </w:pPr>
      <w:r>
        <w:rPr>
          <w:rFonts w:hint="eastAsia"/>
          <w:szCs w:val="21"/>
        </w:rPr>
        <w:t>填妥</w:t>
      </w:r>
      <w:r>
        <w:rPr>
          <w:szCs w:val="21"/>
        </w:rPr>
        <w:t>的</w:t>
      </w:r>
      <w:r>
        <w:rPr>
          <w:rFonts w:hint="eastAsia"/>
          <w:szCs w:val="21"/>
        </w:rPr>
        <w:t>《专业投资者转化为普通投资者告知及确认书</w:t>
      </w:r>
      <w:r>
        <w:rPr>
          <w:szCs w:val="21"/>
        </w:rPr>
        <w:t>》</w:t>
      </w:r>
      <w:r>
        <w:rPr>
          <w:rFonts w:hint="eastAsia"/>
          <w:szCs w:val="21"/>
        </w:rPr>
        <w:t>（适用于</w:t>
      </w:r>
      <w:proofErr w:type="gramStart"/>
      <w:r>
        <w:rPr>
          <w:szCs w:val="21"/>
        </w:rPr>
        <w:t>专转普</w:t>
      </w:r>
      <w:proofErr w:type="gramEnd"/>
      <w:r>
        <w:rPr>
          <w:szCs w:val="21"/>
        </w:rPr>
        <w:t>）</w:t>
      </w:r>
      <w:r>
        <w:rPr>
          <w:rFonts w:hint="eastAsia"/>
          <w:szCs w:val="21"/>
        </w:rPr>
        <w:t>；</w:t>
      </w:r>
    </w:p>
    <w:p w:rsidR="00F22945" w:rsidRDefault="00325CE1">
      <w:pPr>
        <w:numPr>
          <w:ilvl w:val="0"/>
          <w:numId w:val="14"/>
        </w:numPr>
        <w:tabs>
          <w:tab w:val="left" w:pos="993"/>
        </w:tabs>
        <w:spacing w:line="276" w:lineRule="auto"/>
        <w:ind w:rightChars="-7" w:right="-15"/>
        <w:rPr>
          <w:szCs w:val="21"/>
        </w:rPr>
      </w:pPr>
      <w:r>
        <w:rPr>
          <w:rFonts w:hint="eastAsia"/>
          <w:szCs w:val="21"/>
        </w:rPr>
        <w:t>填妥</w:t>
      </w:r>
      <w:r>
        <w:rPr>
          <w:szCs w:val="21"/>
        </w:rPr>
        <w:t>的</w:t>
      </w:r>
      <w:r>
        <w:rPr>
          <w:rFonts w:hint="eastAsia"/>
          <w:szCs w:val="21"/>
        </w:rPr>
        <w:t>《普通投资者转化为专业投资者申请及确认书</w:t>
      </w:r>
      <w:r>
        <w:rPr>
          <w:szCs w:val="21"/>
        </w:rPr>
        <w:t>》</w:t>
      </w:r>
      <w:r>
        <w:rPr>
          <w:rFonts w:hint="eastAsia"/>
          <w:szCs w:val="21"/>
        </w:rPr>
        <w:t>（适用于</w:t>
      </w:r>
      <w:proofErr w:type="gramStart"/>
      <w:r>
        <w:rPr>
          <w:rFonts w:hint="eastAsia"/>
          <w:szCs w:val="21"/>
        </w:rPr>
        <w:t>普</w:t>
      </w:r>
      <w:r>
        <w:rPr>
          <w:szCs w:val="21"/>
        </w:rPr>
        <w:t>转</w:t>
      </w:r>
      <w:r>
        <w:rPr>
          <w:rFonts w:hint="eastAsia"/>
          <w:szCs w:val="21"/>
        </w:rPr>
        <w:t>专</w:t>
      </w:r>
      <w:proofErr w:type="gramEnd"/>
      <w:r>
        <w:rPr>
          <w:szCs w:val="21"/>
        </w:rPr>
        <w:t>）</w:t>
      </w:r>
      <w:r>
        <w:rPr>
          <w:rFonts w:hint="eastAsia"/>
          <w:szCs w:val="21"/>
        </w:rPr>
        <w:t>；</w:t>
      </w:r>
    </w:p>
    <w:p w:rsidR="00F22945" w:rsidRDefault="00325CE1">
      <w:pPr>
        <w:pStyle w:val="12"/>
        <w:numPr>
          <w:ilvl w:val="0"/>
          <w:numId w:val="14"/>
        </w:numPr>
        <w:tabs>
          <w:tab w:val="left" w:pos="710"/>
        </w:tabs>
        <w:spacing w:line="276" w:lineRule="auto"/>
        <w:ind w:left="142" w:rightChars="-7" w:right="-15" w:firstLineChars="0" w:firstLine="568"/>
        <w:rPr>
          <w:szCs w:val="21"/>
        </w:rPr>
      </w:pPr>
      <w:r>
        <w:rPr>
          <w:rFonts w:ascii="Calibri" w:eastAsia="宋体" w:hAnsi="Calibri" w:cs="Times New Roman" w:hint="eastAsia"/>
          <w:kern w:val="2"/>
          <w:sz w:val="21"/>
          <w:szCs w:val="21"/>
        </w:rPr>
        <w:t>填妥的《普通投资者转化为专业投资者的投资知识测试问卷》（适用于</w:t>
      </w:r>
      <w:proofErr w:type="gramStart"/>
      <w:r>
        <w:rPr>
          <w:rFonts w:ascii="Calibri" w:eastAsia="宋体" w:hAnsi="Calibri" w:cs="Times New Roman" w:hint="eastAsia"/>
          <w:kern w:val="2"/>
          <w:sz w:val="21"/>
          <w:szCs w:val="21"/>
        </w:rPr>
        <w:t>普转专</w:t>
      </w:r>
      <w:proofErr w:type="gramEnd"/>
      <w:r>
        <w:rPr>
          <w:rFonts w:ascii="Calibri" w:eastAsia="宋体" w:hAnsi="Calibri" w:cs="Times New Roman" w:hint="eastAsia"/>
          <w:kern w:val="2"/>
          <w:sz w:val="21"/>
          <w:szCs w:val="21"/>
        </w:rPr>
        <w:t>）。</w:t>
      </w:r>
    </w:p>
    <w:p w:rsidR="00F22945" w:rsidRDefault="00325CE1">
      <w:pPr>
        <w:spacing w:line="276" w:lineRule="auto"/>
        <w:ind w:firstLineChars="236" w:firstLine="496"/>
        <w:rPr>
          <w:szCs w:val="21"/>
        </w:rPr>
      </w:pPr>
      <w:r>
        <w:rPr>
          <w:szCs w:val="21"/>
        </w:rPr>
        <w:t>D.</w:t>
      </w:r>
      <w:r>
        <w:rPr>
          <w:rFonts w:hint="eastAsia"/>
          <w:szCs w:val="21"/>
        </w:rPr>
        <w:t>机构</w:t>
      </w:r>
      <w:r>
        <w:rPr>
          <w:szCs w:val="21"/>
        </w:rPr>
        <w:t>投资者应该提供的资料</w:t>
      </w:r>
      <w:r>
        <w:rPr>
          <w:rFonts w:hint="eastAsia"/>
          <w:szCs w:val="21"/>
        </w:rPr>
        <w:t>：</w:t>
      </w:r>
    </w:p>
    <w:p w:rsidR="00F22945" w:rsidRDefault="00325CE1">
      <w:pPr>
        <w:numPr>
          <w:ilvl w:val="0"/>
          <w:numId w:val="15"/>
        </w:numPr>
        <w:tabs>
          <w:tab w:val="left" w:pos="993"/>
        </w:tabs>
        <w:spacing w:line="276" w:lineRule="auto"/>
        <w:ind w:rightChars="-7" w:right="-15"/>
        <w:rPr>
          <w:szCs w:val="21"/>
        </w:rPr>
      </w:pPr>
      <w:r>
        <w:rPr>
          <w:rFonts w:hint="eastAsia"/>
          <w:szCs w:val="21"/>
        </w:rPr>
        <w:t>最近一年经审计的财务报表</w:t>
      </w:r>
      <w:r>
        <w:rPr>
          <w:szCs w:val="21"/>
        </w:rPr>
        <w:t>及金融资产证明</w:t>
      </w:r>
      <w:r>
        <w:rPr>
          <w:rFonts w:hint="eastAsia"/>
          <w:szCs w:val="21"/>
        </w:rPr>
        <w:t>；</w:t>
      </w:r>
    </w:p>
    <w:p w:rsidR="00F22945" w:rsidRDefault="00325CE1">
      <w:pPr>
        <w:numPr>
          <w:ilvl w:val="0"/>
          <w:numId w:val="15"/>
        </w:numPr>
        <w:tabs>
          <w:tab w:val="left" w:pos="993"/>
        </w:tabs>
        <w:spacing w:line="276" w:lineRule="auto"/>
        <w:ind w:rightChars="-7" w:right="-15"/>
        <w:rPr>
          <w:szCs w:val="21"/>
        </w:rPr>
      </w:pPr>
      <w:r>
        <w:rPr>
          <w:szCs w:val="21"/>
        </w:rPr>
        <w:t>投资</w:t>
      </w:r>
      <w:r>
        <w:rPr>
          <w:rFonts w:hint="eastAsia"/>
          <w:szCs w:val="21"/>
        </w:rPr>
        <w:t>经历</w:t>
      </w:r>
      <w:r>
        <w:rPr>
          <w:szCs w:val="21"/>
        </w:rPr>
        <w:t>证明</w:t>
      </w:r>
      <w:r>
        <w:rPr>
          <w:rFonts w:hint="eastAsia"/>
          <w:szCs w:val="21"/>
        </w:rPr>
        <w:t>文件；</w:t>
      </w:r>
    </w:p>
    <w:p w:rsidR="00F22945" w:rsidRDefault="00325CE1">
      <w:pPr>
        <w:numPr>
          <w:ilvl w:val="0"/>
          <w:numId w:val="15"/>
        </w:numPr>
        <w:tabs>
          <w:tab w:val="left" w:pos="993"/>
        </w:tabs>
        <w:spacing w:line="276" w:lineRule="auto"/>
        <w:ind w:rightChars="-7" w:right="-15"/>
        <w:rPr>
          <w:szCs w:val="21"/>
        </w:rPr>
      </w:pPr>
      <w:r>
        <w:rPr>
          <w:rFonts w:hint="eastAsia"/>
          <w:szCs w:val="21"/>
        </w:rPr>
        <w:t>填妥的《投资者类型评定及风险能力测评问卷》；</w:t>
      </w:r>
    </w:p>
    <w:p w:rsidR="00F22945" w:rsidRDefault="00325CE1">
      <w:pPr>
        <w:numPr>
          <w:ilvl w:val="0"/>
          <w:numId w:val="15"/>
        </w:numPr>
        <w:tabs>
          <w:tab w:val="left" w:pos="993"/>
        </w:tabs>
        <w:spacing w:line="276" w:lineRule="auto"/>
        <w:ind w:rightChars="-7" w:right="-15"/>
        <w:rPr>
          <w:szCs w:val="21"/>
        </w:rPr>
      </w:pPr>
      <w:r>
        <w:rPr>
          <w:rFonts w:hint="eastAsia"/>
          <w:szCs w:val="21"/>
        </w:rPr>
        <w:t>填妥</w:t>
      </w:r>
      <w:r>
        <w:rPr>
          <w:szCs w:val="21"/>
        </w:rPr>
        <w:t>的</w:t>
      </w:r>
      <w:r>
        <w:rPr>
          <w:rFonts w:hint="eastAsia"/>
          <w:szCs w:val="21"/>
        </w:rPr>
        <w:t>《专业投资者转化为普通投资者告知及确认书</w:t>
      </w:r>
      <w:r>
        <w:rPr>
          <w:szCs w:val="21"/>
        </w:rPr>
        <w:t>》</w:t>
      </w:r>
      <w:r>
        <w:rPr>
          <w:rFonts w:hint="eastAsia"/>
          <w:szCs w:val="21"/>
        </w:rPr>
        <w:t>（适用于</w:t>
      </w:r>
      <w:proofErr w:type="gramStart"/>
      <w:r>
        <w:rPr>
          <w:szCs w:val="21"/>
        </w:rPr>
        <w:t>专转普</w:t>
      </w:r>
      <w:proofErr w:type="gramEnd"/>
      <w:r>
        <w:rPr>
          <w:szCs w:val="21"/>
        </w:rPr>
        <w:t>）</w:t>
      </w:r>
      <w:r>
        <w:rPr>
          <w:rFonts w:hint="eastAsia"/>
          <w:szCs w:val="21"/>
        </w:rPr>
        <w:t>；</w:t>
      </w:r>
    </w:p>
    <w:p w:rsidR="00F22945" w:rsidRDefault="00325CE1">
      <w:pPr>
        <w:numPr>
          <w:ilvl w:val="0"/>
          <w:numId w:val="15"/>
        </w:numPr>
        <w:tabs>
          <w:tab w:val="left" w:pos="993"/>
        </w:tabs>
        <w:spacing w:line="276" w:lineRule="auto"/>
        <w:ind w:rightChars="-7" w:right="-15"/>
        <w:rPr>
          <w:szCs w:val="21"/>
        </w:rPr>
      </w:pPr>
      <w:r>
        <w:rPr>
          <w:rFonts w:hint="eastAsia"/>
          <w:szCs w:val="21"/>
        </w:rPr>
        <w:t>填妥</w:t>
      </w:r>
      <w:r>
        <w:rPr>
          <w:szCs w:val="21"/>
        </w:rPr>
        <w:t>的</w:t>
      </w:r>
      <w:r>
        <w:rPr>
          <w:rFonts w:hint="eastAsia"/>
          <w:szCs w:val="21"/>
        </w:rPr>
        <w:t>《普通投资者转化为专业投资者申请及确认书</w:t>
      </w:r>
      <w:r>
        <w:rPr>
          <w:szCs w:val="21"/>
        </w:rPr>
        <w:t>》</w:t>
      </w:r>
      <w:r>
        <w:rPr>
          <w:rFonts w:hint="eastAsia"/>
          <w:szCs w:val="21"/>
        </w:rPr>
        <w:t>（适用于</w:t>
      </w:r>
      <w:proofErr w:type="gramStart"/>
      <w:r>
        <w:rPr>
          <w:rFonts w:hint="eastAsia"/>
          <w:szCs w:val="21"/>
        </w:rPr>
        <w:t>普</w:t>
      </w:r>
      <w:r>
        <w:rPr>
          <w:szCs w:val="21"/>
        </w:rPr>
        <w:t>转</w:t>
      </w:r>
      <w:r>
        <w:rPr>
          <w:rFonts w:hint="eastAsia"/>
          <w:szCs w:val="21"/>
        </w:rPr>
        <w:t>专</w:t>
      </w:r>
      <w:proofErr w:type="gramEnd"/>
      <w:r>
        <w:rPr>
          <w:szCs w:val="21"/>
        </w:rPr>
        <w:t>）</w:t>
      </w:r>
    </w:p>
    <w:p w:rsidR="00F22945" w:rsidRDefault="00325CE1">
      <w:pPr>
        <w:pStyle w:val="12"/>
        <w:numPr>
          <w:ilvl w:val="0"/>
          <w:numId w:val="15"/>
        </w:numPr>
        <w:tabs>
          <w:tab w:val="left" w:pos="710"/>
        </w:tabs>
        <w:spacing w:line="276" w:lineRule="auto"/>
        <w:ind w:left="0" w:rightChars="-7" w:right="-15" w:firstLineChars="0" w:firstLine="710"/>
        <w:rPr>
          <w:szCs w:val="21"/>
        </w:rPr>
      </w:pPr>
      <w:r>
        <w:rPr>
          <w:rFonts w:ascii="Calibri" w:eastAsia="宋体" w:hAnsi="Calibri" w:cs="Times New Roman" w:hint="eastAsia"/>
          <w:kern w:val="2"/>
          <w:sz w:val="21"/>
          <w:szCs w:val="21"/>
        </w:rPr>
        <w:t>填妥的《普通投资者转化为专业投资者的投资知识测试问卷》（适用于</w:t>
      </w:r>
      <w:proofErr w:type="gramStart"/>
      <w:r>
        <w:rPr>
          <w:rFonts w:ascii="Calibri" w:eastAsia="宋体" w:hAnsi="Calibri" w:cs="Times New Roman" w:hint="eastAsia"/>
          <w:kern w:val="2"/>
          <w:sz w:val="21"/>
          <w:szCs w:val="21"/>
        </w:rPr>
        <w:t>普转专</w:t>
      </w:r>
      <w:proofErr w:type="gramEnd"/>
      <w:r>
        <w:rPr>
          <w:rFonts w:ascii="Calibri" w:eastAsia="宋体" w:hAnsi="Calibri" w:cs="Times New Roman" w:hint="eastAsia"/>
          <w:kern w:val="2"/>
          <w:sz w:val="21"/>
          <w:szCs w:val="21"/>
        </w:rPr>
        <w:t>）。</w:t>
      </w:r>
    </w:p>
    <w:p w:rsidR="00F22945" w:rsidRDefault="00325CE1">
      <w:pPr>
        <w:spacing w:line="276" w:lineRule="auto"/>
        <w:ind w:firstLineChars="200" w:firstLine="420"/>
        <w:rPr>
          <w:szCs w:val="21"/>
        </w:rPr>
      </w:pPr>
      <w:r>
        <w:rPr>
          <w:rFonts w:hint="eastAsia"/>
          <w:szCs w:val="21"/>
        </w:rPr>
        <w:t>（七）直销汇款账户</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tblGrid>
      <w:tr w:rsidR="00F22945">
        <w:trPr>
          <w:trHeight w:val="309"/>
        </w:trPr>
        <w:tc>
          <w:tcPr>
            <w:tcW w:w="2127" w:type="dxa"/>
            <w:vAlign w:val="bottom"/>
          </w:tcPr>
          <w:p w:rsidR="00F22945" w:rsidRDefault="00325CE1">
            <w:pPr>
              <w:spacing w:line="276" w:lineRule="auto"/>
              <w:jc w:val="center"/>
              <w:rPr>
                <w:szCs w:val="21"/>
              </w:rPr>
            </w:pPr>
            <w:r>
              <w:rPr>
                <w:rFonts w:hint="eastAsia"/>
                <w:szCs w:val="21"/>
              </w:rPr>
              <w:t>账户名称</w:t>
            </w:r>
          </w:p>
        </w:tc>
        <w:tc>
          <w:tcPr>
            <w:tcW w:w="5244" w:type="dxa"/>
            <w:vAlign w:val="bottom"/>
          </w:tcPr>
          <w:p w:rsidR="00F22945" w:rsidRDefault="00325CE1">
            <w:pPr>
              <w:spacing w:line="276" w:lineRule="auto"/>
              <w:rPr>
                <w:szCs w:val="21"/>
              </w:rPr>
            </w:pPr>
            <w:r>
              <w:rPr>
                <w:rFonts w:hint="eastAsia"/>
                <w:szCs w:val="21"/>
              </w:rPr>
              <w:t>先锋基金管理有限公司</w:t>
            </w:r>
            <w:r>
              <w:rPr>
                <w:rFonts w:hint="eastAsia"/>
                <w:szCs w:val="21"/>
              </w:rPr>
              <w:t xml:space="preserve"> </w:t>
            </w:r>
          </w:p>
        </w:tc>
      </w:tr>
      <w:tr w:rsidR="00F22945">
        <w:trPr>
          <w:trHeight w:val="309"/>
        </w:trPr>
        <w:tc>
          <w:tcPr>
            <w:tcW w:w="2127" w:type="dxa"/>
            <w:vAlign w:val="bottom"/>
          </w:tcPr>
          <w:p w:rsidR="00F22945" w:rsidRDefault="00325CE1">
            <w:pPr>
              <w:spacing w:line="276" w:lineRule="auto"/>
              <w:jc w:val="center"/>
              <w:rPr>
                <w:szCs w:val="21"/>
              </w:rPr>
            </w:pPr>
            <w:r>
              <w:rPr>
                <w:rFonts w:hint="eastAsia"/>
                <w:szCs w:val="21"/>
              </w:rPr>
              <w:t>银行帐号</w:t>
            </w:r>
          </w:p>
        </w:tc>
        <w:tc>
          <w:tcPr>
            <w:tcW w:w="5244" w:type="dxa"/>
          </w:tcPr>
          <w:p w:rsidR="00F22945" w:rsidRDefault="00325CE1">
            <w:pPr>
              <w:spacing w:line="276" w:lineRule="auto"/>
              <w:rPr>
                <w:szCs w:val="21"/>
              </w:rPr>
            </w:pPr>
            <w:r>
              <w:rPr>
                <w:rFonts w:hint="eastAsia"/>
                <w:szCs w:val="21"/>
              </w:rPr>
              <w:t>697938581</w:t>
            </w:r>
          </w:p>
        </w:tc>
      </w:tr>
      <w:tr w:rsidR="00F22945">
        <w:trPr>
          <w:trHeight w:val="309"/>
        </w:trPr>
        <w:tc>
          <w:tcPr>
            <w:tcW w:w="2127" w:type="dxa"/>
            <w:vAlign w:val="bottom"/>
          </w:tcPr>
          <w:p w:rsidR="00F22945" w:rsidRDefault="00325CE1">
            <w:pPr>
              <w:spacing w:line="276" w:lineRule="auto"/>
              <w:jc w:val="center"/>
              <w:rPr>
                <w:szCs w:val="21"/>
              </w:rPr>
            </w:pPr>
            <w:r>
              <w:rPr>
                <w:rFonts w:hint="eastAsia"/>
                <w:szCs w:val="21"/>
              </w:rPr>
              <w:t>开户银行</w:t>
            </w:r>
          </w:p>
        </w:tc>
        <w:tc>
          <w:tcPr>
            <w:tcW w:w="5244" w:type="dxa"/>
          </w:tcPr>
          <w:p w:rsidR="00F22945" w:rsidRDefault="00325CE1">
            <w:pPr>
              <w:spacing w:line="276" w:lineRule="auto"/>
              <w:rPr>
                <w:szCs w:val="21"/>
              </w:rPr>
            </w:pPr>
            <w:r>
              <w:rPr>
                <w:rFonts w:hint="eastAsia"/>
                <w:szCs w:val="21"/>
              </w:rPr>
              <w:t>民生银行北京建国门外支行</w:t>
            </w:r>
            <w:r>
              <w:rPr>
                <w:rFonts w:hint="eastAsia"/>
                <w:szCs w:val="21"/>
              </w:rPr>
              <w:t xml:space="preserve"> </w:t>
            </w:r>
          </w:p>
        </w:tc>
      </w:tr>
      <w:tr w:rsidR="00F22945">
        <w:trPr>
          <w:trHeight w:val="309"/>
        </w:trPr>
        <w:tc>
          <w:tcPr>
            <w:tcW w:w="2127" w:type="dxa"/>
            <w:vAlign w:val="bottom"/>
          </w:tcPr>
          <w:p w:rsidR="00F22945" w:rsidRDefault="00325CE1">
            <w:pPr>
              <w:spacing w:line="276" w:lineRule="auto"/>
              <w:jc w:val="center"/>
              <w:rPr>
                <w:szCs w:val="21"/>
              </w:rPr>
            </w:pPr>
            <w:r>
              <w:rPr>
                <w:rFonts w:hint="eastAsia"/>
                <w:szCs w:val="21"/>
              </w:rPr>
              <w:t>大额行号</w:t>
            </w:r>
          </w:p>
        </w:tc>
        <w:tc>
          <w:tcPr>
            <w:tcW w:w="5244" w:type="dxa"/>
          </w:tcPr>
          <w:p w:rsidR="00F22945" w:rsidRDefault="00325CE1">
            <w:pPr>
              <w:spacing w:line="276" w:lineRule="auto"/>
              <w:rPr>
                <w:szCs w:val="21"/>
              </w:rPr>
            </w:pPr>
            <w:r>
              <w:rPr>
                <w:rFonts w:hint="eastAsia"/>
                <w:szCs w:val="21"/>
              </w:rPr>
              <w:t>305100001400</w:t>
            </w:r>
          </w:p>
        </w:tc>
      </w:tr>
    </w:tbl>
    <w:p w:rsidR="00F22945" w:rsidRDefault="00325CE1">
      <w:pPr>
        <w:spacing w:line="276" w:lineRule="auto"/>
        <w:ind w:firstLineChars="200" w:firstLine="422"/>
        <w:rPr>
          <w:b/>
          <w:szCs w:val="21"/>
        </w:rPr>
      </w:pPr>
      <w:r>
        <w:rPr>
          <w:rFonts w:hint="eastAsia"/>
          <w:b/>
          <w:szCs w:val="21"/>
        </w:rPr>
        <w:t>十、投诉处理和联系方式</w:t>
      </w:r>
    </w:p>
    <w:p w:rsidR="00F22945" w:rsidRDefault="00325CE1">
      <w:pPr>
        <w:spacing w:line="276" w:lineRule="auto"/>
        <w:ind w:firstLineChars="200" w:firstLine="420"/>
        <w:rPr>
          <w:szCs w:val="21"/>
        </w:rPr>
      </w:pPr>
      <w:r>
        <w:rPr>
          <w:rFonts w:hint="eastAsia"/>
          <w:szCs w:val="21"/>
        </w:rPr>
        <w:t>投资人可以通过拨打我公司客户服务部电话或以书信、传真、电子邮件等方式，对营业网点所提供的服务提出建议或投诉。对于工作日受理的投诉，原则上当日回复，不能当日回复的，在</w:t>
      </w:r>
      <w:r>
        <w:rPr>
          <w:szCs w:val="21"/>
        </w:rPr>
        <w:t>3</w:t>
      </w:r>
      <w:r>
        <w:rPr>
          <w:rFonts w:hint="eastAsia"/>
          <w:szCs w:val="21"/>
        </w:rPr>
        <w:t>个工作日内回复。对于非工作日受理的投诉，原则上在顺延的第一个工作日回复，不能及时回复的，在</w:t>
      </w:r>
      <w:r>
        <w:rPr>
          <w:szCs w:val="21"/>
        </w:rPr>
        <w:t>3</w:t>
      </w:r>
      <w:r>
        <w:rPr>
          <w:rFonts w:hint="eastAsia"/>
          <w:szCs w:val="21"/>
        </w:rPr>
        <w:t>个工作日内回复。</w:t>
      </w:r>
    </w:p>
    <w:p w:rsidR="00F22945" w:rsidRDefault="00325CE1">
      <w:pPr>
        <w:spacing w:line="276" w:lineRule="auto"/>
        <w:ind w:firstLineChars="200" w:firstLine="420"/>
        <w:rPr>
          <w:szCs w:val="21"/>
        </w:rPr>
      </w:pPr>
      <w:r>
        <w:rPr>
          <w:rFonts w:hint="eastAsia"/>
          <w:szCs w:val="21"/>
        </w:rPr>
        <w:t>投资人也可通过书信、传真、电子邮件等方式，向中国证监会和中国证券业协会投诉。联系方式如下：</w:t>
      </w:r>
    </w:p>
    <w:p w:rsidR="00F22945" w:rsidRDefault="00325CE1">
      <w:pPr>
        <w:spacing w:line="276" w:lineRule="auto"/>
        <w:ind w:firstLineChars="200" w:firstLine="420"/>
        <w:rPr>
          <w:szCs w:val="21"/>
        </w:rPr>
      </w:pPr>
      <w:r>
        <w:rPr>
          <w:rFonts w:hint="eastAsia"/>
          <w:szCs w:val="21"/>
        </w:rPr>
        <w:t>中国证监会北京监管局：网址：</w:t>
      </w:r>
      <w:r>
        <w:rPr>
          <w:szCs w:val="21"/>
        </w:rPr>
        <w:t>http://www.csrc.gov.cn/pub/beijing/</w:t>
      </w:r>
      <w:r>
        <w:rPr>
          <w:rFonts w:hint="eastAsia"/>
          <w:szCs w:val="21"/>
        </w:rPr>
        <w:t>，联系电话：</w:t>
      </w:r>
      <w:r>
        <w:rPr>
          <w:szCs w:val="21"/>
        </w:rPr>
        <w:t xml:space="preserve">010-88088086 </w:t>
      </w:r>
      <w:r>
        <w:rPr>
          <w:szCs w:val="21"/>
        </w:rPr>
        <w:t>，传真：</w:t>
      </w:r>
      <w:r>
        <w:rPr>
          <w:szCs w:val="21"/>
        </w:rPr>
        <w:t xml:space="preserve">010-88088012 </w:t>
      </w:r>
      <w:r>
        <w:rPr>
          <w:szCs w:val="21"/>
        </w:rPr>
        <w:t>，地址：北京市西城区金融大街</w:t>
      </w:r>
      <w:r>
        <w:rPr>
          <w:szCs w:val="21"/>
        </w:rPr>
        <w:t>26</w:t>
      </w:r>
      <w:r>
        <w:rPr>
          <w:szCs w:val="21"/>
        </w:rPr>
        <w:t>号金阳大厦</w:t>
      </w:r>
      <w:r>
        <w:rPr>
          <w:szCs w:val="21"/>
        </w:rPr>
        <w:t>6</w:t>
      </w:r>
      <w:r>
        <w:rPr>
          <w:szCs w:val="21"/>
        </w:rPr>
        <w:t>层，邮编：</w:t>
      </w:r>
      <w:r>
        <w:rPr>
          <w:szCs w:val="21"/>
        </w:rPr>
        <w:t>100033</w:t>
      </w:r>
      <w:r>
        <w:rPr>
          <w:szCs w:val="21"/>
        </w:rPr>
        <w:t>。</w:t>
      </w:r>
    </w:p>
    <w:p w:rsidR="00F22945" w:rsidRDefault="00325CE1">
      <w:pPr>
        <w:spacing w:line="276" w:lineRule="auto"/>
        <w:ind w:firstLineChars="200" w:firstLine="420"/>
        <w:rPr>
          <w:szCs w:val="21"/>
        </w:rPr>
      </w:pPr>
      <w:r>
        <w:rPr>
          <w:rFonts w:hint="eastAsia"/>
          <w:szCs w:val="21"/>
        </w:rPr>
        <w:t>中国证券投资基金业协会：网址：</w:t>
      </w:r>
      <w:r>
        <w:rPr>
          <w:szCs w:val="21"/>
        </w:rPr>
        <w:t>www.amac.org.cn</w:t>
      </w:r>
      <w:r>
        <w:rPr>
          <w:rFonts w:hint="eastAsia"/>
          <w:szCs w:val="21"/>
        </w:rPr>
        <w:t>，地址：北京市西城区金融大街</w:t>
      </w:r>
      <w:r>
        <w:rPr>
          <w:szCs w:val="21"/>
        </w:rPr>
        <w:t>20</w:t>
      </w:r>
      <w:r>
        <w:rPr>
          <w:szCs w:val="21"/>
        </w:rPr>
        <w:t>号交通银行大厦</w:t>
      </w:r>
      <w:r>
        <w:rPr>
          <w:szCs w:val="21"/>
        </w:rPr>
        <w:t>B</w:t>
      </w:r>
      <w:r>
        <w:rPr>
          <w:szCs w:val="21"/>
        </w:rPr>
        <w:t>座</w:t>
      </w:r>
      <w:r>
        <w:rPr>
          <w:szCs w:val="21"/>
        </w:rPr>
        <w:t>9</w:t>
      </w:r>
      <w:r>
        <w:rPr>
          <w:szCs w:val="21"/>
        </w:rPr>
        <w:t>层，邮编：</w:t>
      </w:r>
      <w:r>
        <w:rPr>
          <w:szCs w:val="21"/>
        </w:rPr>
        <w:t>100033</w:t>
      </w:r>
      <w:r>
        <w:rPr>
          <w:rFonts w:hint="eastAsia"/>
          <w:szCs w:val="21"/>
        </w:rPr>
        <w:t>。</w:t>
      </w:r>
    </w:p>
    <w:p w:rsidR="00F22945" w:rsidRDefault="00325CE1">
      <w:pPr>
        <w:spacing w:line="276" w:lineRule="auto"/>
        <w:ind w:firstLineChars="200" w:firstLine="420"/>
        <w:rPr>
          <w:szCs w:val="21"/>
        </w:rPr>
      </w:pPr>
      <w:r>
        <w:rPr>
          <w:rFonts w:hint="eastAsia"/>
          <w:szCs w:val="21"/>
        </w:rPr>
        <w:t>投资人在投资基金</w:t>
      </w:r>
      <w:r>
        <w:rPr>
          <w:rFonts w:hint="eastAsia"/>
          <w:szCs w:val="21"/>
        </w:rPr>
        <w:t>/</w:t>
      </w:r>
      <w:proofErr w:type="gramStart"/>
      <w:r>
        <w:rPr>
          <w:rFonts w:hint="eastAsia"/>
          <w:szCs w:val="21"/>
        </w:rPr>
        <w:t>资管计划</w:t>
      </w:r>
      <w:proofErr w:type="gramEnd"/>
      <w:r>
        <w:rPr>
          <w:rFonts w:hint="eastAsia"/>
          <w:szCs w:val="21"/>
        </w:rPr>
        <w:t>前应认真阅读《基金合同》、《资管合同》、《招募说明书》等基金</w:t>
      </w:r>
      <w:r>
        <w:rPr>
          <w:rFonts w:hint="eastAsia"/>
          <w:szCs w:val="21"/>
        </w:rPr>
        <w:t>/</w:t>
      </w:r>
      <w:proofErr w:type="gramStart"/>
      <w:r>
        <w:rPr>
          <w:rFonts w:hint="eastAsia"/>
          <w:szCs w:val="21"/>
        </w:rPr>
        <w:t>资管计划</w:t>
      </w:r>
      <w:proofErr w:type="gramEnd"/>
      <w:r>
        <w:rPr>
          <w:rFonts w:hint="eastAsia"/>
          <w:szCs w:val="21"/>
        </w:rPr>
        <w:t>法律文件，选择与自身风险承受能力相适应的基金</w:t>
      </w:r>
      <w:r>
        <w:rPr>
          <w:rFonts w:hint="eastAsia"/>
          <w:szCs w:val="21"/>
        </w:rPr>
        <w:t>/</w:t>
      </w:r>
      <w:proofErr w:type="gramStart"/>
      <w:r>
        <w:rPr>
          <w:rFonts w:hint="eastAsia"/>
          <w:szCs w:val="21"/>
        </w:rPr>
        <w:t>资管计划</w:t>
      </w:r>
      <w:proofErr w:type="gramEnd"/>
      <w:r>
        <w:rPr>
          <w:rFonts w:hint="eastAsia"/>
          <w:szCs w:val="21"/>
        </w:rPr>
        <w:t>。基金管理人承诺投资人利益优先，以诚实信用、勤勉尽责的态度为投资人提供服务，但不能保证基金</w:t>
      </w:r>
      <w:r>
        <w:rPr>
          <w:rFonts w:hint="eastAsia"/>
          <w:szCs w:val="21"/>
        </w:rPr>
        <w:t>/</w:t>
      </w:r>
      <w:proofErr w:type="gramStart"/>
      <w:r>
        <w:rPr>
          <w:rFonts w:hint="eastAsia"/>
          <w:szCs w:val="21"/>
        </w:rPr>
        <w:t>资管计划</w:t>
      </w:r>
      <w:proofErr w:type="gramEnd"/>
      <w:r>
        <w:rPr>
          <w:rFonts w:hint="eastAsia"/>
          <w:szCs w:val="21"/>
        </w:rPr>
        <w:t>一定盈利，也不能保证基金</w:t>
      </w:r>
      <w:r>
        <w:rPr>
          <w:rFonts w:hint="eastAsia"/>
          <w:szCs w:val="21"/>
        </w:rPr>
        <w:t>/</w:t>
      </w:r>
      <w:proofErr w:type="gramStart"/>
      <w:r>
        <w:rPr>
          <w:rFonts w:hint="eastAsia"/>
          <w:szCs w:val="21"/>
        </w:rPr>
        <w:t>资管计划</w:t>
      </w:r>
      <w:proofErr w:type="gramEnd"/>
      <w:r>
        <w:rPr>
          <w:rFonts w:hint="eastAsia"/>
          <w:szCs w:val="21"/>
        </w:rPr>
        <w:t>的最低收益。投资人可登录中国证监会网站</w:t>
      </w:r>
      <w:r>
        <w:rPr>
          <w:rFonts w:ascii="宋体" w:hAnsi="宋体" w:hint="eastAsia"/>
          <w:szCs w:val="21"/>
        </w:rPr>
        <w:lastRenderedPageBreak/>
        <w:t>（</w:t>
      </w:r>
      <w:r>
        <w:rPr>
          <w:rFonts w:ascii="宋体" w:hAnsi="宋体"/>
          <w:szCs w:val="21"/>
        </w:rPr>
        <w:t>www.csrc.gov.cn</w:t>
      </w:r>
      <w:r>
        <w:rPr>
          <w:rFonts w:ascii="宋体" w:hAnsi="宋体" w:hint="eastAsia"/>
          <w:szCs w:val="21"/>
        </w:rPr>
        <w:t>）或中国证券业协会网站（</w:t>
      </w:r>
      <w:r>
        <w:rPr>
          <w:rFonts w:ascii="宋体" w:hAnsi="宋体"/>
          <w:szCs w:val="21"/>
        </w:rPr>
        <w:t>www.sac.net.cn</w:t>
      </w:r>
      <w:r>
        <w:rPr>
          <w:rFonts w:ascii="宋体" w:hAnsi="宋体" w:hint="eastAsia"/>
          <w:szCs w:val="21"/>
        </w:rPr>
        <w:t>）</w:t>
      </w:r>
      <w:r>
        <w:rPr>
          <w:rFonts w:hint="eastAsia"/>
          <w:szCs w:val="21"/>
        </w:rPr>
        <w:t>查询基金</w:t>
      </w:r>
      <w:r>
        <w:rPr>
          <w:rFonts w:hint="eastAsia"/>
          <w:szCs w:val="21"/>
        </w:rPr>
        <w:t>/</w:t>
      </w:r>
      <w:proofErr w:type="gramStart"/>
      <w:r>
        <w:rPr>
          <w:rFonts w:hint="eastAsia"/>
          <w:szCs w:val="21"/>
        </w:rPr>
        <w:t>资管计划</w:t>
      </w:r>
      <w:proofErr w:type="gramEnd"/>
      <w:r>
        <w:rPr>
          <w:rFonts w:hint="eastAsia"/>
          <w:szCs w:val="21"/>
        </w:rPr>
        <w:t>销售机构名录，核实我公司基金</w:t>
      </w:r>
      <w:r>
        <w:rPr>
          <w:rFonts w:hint="eastAsia"/>
          <w:szCs w:val="21"/>
        </w:rPr>
        <w:t>/</w:t>
      </w:r>
      <w:proofErr w:type="gramStart"/>
      <w:r>
        <w:rPr>
          <w:rFonts w:hint="eastAsia"/>
          <w:szCs w:val="21"/>
        </w:rPr>
        <w:t>资管计划</w:t>
      </w:r>
      <w:proofErr w:type="gramEnd"/>
      <w:r>
        <w:rPr>
          <w:rFonts w:hint="eastAsia"/>
          <w:szCs w:val="21"/>
        </w:rPr>
        <w:t>销售资格。</w:t>
      </w:r>
    </w:p>
    <w:p w:rsidR="00F22945" w:rsidRDefault="00F22945">
      <w:pPr>
        <w:spacing w:line="276" w:lineRule="auto"/>
        <w:ind w:firstLineChars="200" w:firstLine="420"/>
        <w:rPr>
          <w:szCs w:val="21"/>
        </w:rPr>
      </w:pPr>
    </w:p>
    <w:p w:rsidR="00F22945" w:rsidRDefault="00F22945">
      <w:pPr>
        <w:spacing w:line="276" w:lineRule="auto"/>
        <w:ind w:firstLineChars="200" w:firstLine="420"/>
        <w:rPr>
          <w:szCs w:val="21"/>
        </w:rPr>
      </w:pPr>
    </w:p>
    <w:p w:rsidR="00F22945" w:rsidRDefault="00325CE1">
      <w:pPr>
        <w:tabs>
          <w:tab w:val="left" w:pos="720"/>
        </w:tabs>
        <w:autoSpaceDE w:val="0"/>
        <w:autoSpaceDN w:val="0"/>
        <w:adjustRightInd w:val="0"/>
        <w:spacing w:before="1" w:after="95" w:line="276" w:lineRule="auto"/>
        <w:ind w:left="72" w:right="18"/>
        <w:rPr>
          <w:rFonts w:ascii="新宋体" w:eastAsia="新宋体" w:hAnsiTheme="minorHAnsi" w:cs="新宋体"/>
          <w:b/>
          <w:color w:val="000000" w:themeColor="text1"/>
          <w:szCs w:val="21"/>
          <w:lang w:val="zh-CN"/>
        </w:rPr>
      </w:pPr>
      <w:r>
        <w:rPr>
          <w:rFonts w:ascii="新宋体" w:eastAsia="新宋体" w:hAnsiTheme="minorHAnsi" w:cs="新宋体" w:hint="eastAsia"/>
          <w:b/>
          <w:color w:val="000000" w:themeColor="text1"/>
          <w:szCs w:val="21"/>
          <w:lang w:val="zh-CN"/>
        </w:rPr>
        <w:t>投资人声明：</w:t>
      </w:r>
    </w:p>
    <w:p w:rsidR="00F22945" w:rsidRDefault="00F22945">
      <w:pPr>
        <w:tabs>
          <w:tab w:val="left" w:pos="720"/>
        </w:tabs>
        <w:autoSpaceDE w:val="0"/>
        <w:autoSpaceDN w:val="0"/>
        <w:adjustRightInd w:val="0"/>
        <w:spacing w:before="1" w:after="95" w:line="276" w:lineRule="auto"/>
        <w:ind w:left="72" w:right="18"/>
        <w:rPr>
          <w:rFonts w:ascii="新宋体" w:eastAsia="新宋体" w:hAnsiTheme="minorHAnsi" w:cs="新宋体"/>
          <w:color w:val="000000" w:themeColor="text1"/>
          <w:szCs w:val="21"/>
          <w:lang w:val="zh-CN"/>
        </w:rPr>
      </w:pPr>
    </w:p>
    <w:p w:rsidR="00F22945" w:rsidRDefault="00325CE1">
      <w:pPr>
        <w:tabs>
          <w:tab w:val="left" w:pos="720"/>
        </w:tabs>
        <w:autoSpaceDE w:val="0"/>
        <w:autoSpaceDN w:val="0"/>
        <w:adjustRightInd w:val="0"/>
        <w:spacing w:before="1" w:after="95" w:line="276" w:lineRule="auto"/>
        <w:ind w:left="72" w:right="18" w:firstLineChars="200" w:firstLine="420"/>
        <w:rPr>
          <w:rFonts w:ascii="新宋体" w:eastAsia="新宋体" w:hAnsiTheme="minorHAnsi" w:cs="新宋体"/>
          <w:color w:val="000000" w:themeColor="text1"/>
          <w:szCs w:val="21"/>
          <w:lang w:val="zh-CN"/>
        </w:rPr>
      </w:pPr>
      <w:r>
        <w:rPr>
          <w:rFonts w:ascii="新宋体" w:eastAsia="新宋体" w:hAnsiTheme="minorHAnsi" w:cs="新宋体" w:hint="eastAsia"/>
          <w:color w:val="000000" w:themeColor="text1"/>
          <w:szCs w:val="21"/>
          <w:lang w:val="zh-CN"/>
        </w:rPr>
        <w:t>本投资人已仔细阅读《投资人权益须知》，自愿承担投资风险。签章以示承诺及申请意愿。</w:t>
      </w:r>
    </w:p>
    <w:p w:rsidR="00F22945" w:rsidRDefault="00F22945">
      <w:pPr>
        <w:tabs>
          <w:tab w:val="left" w:pos="720"/>
        </w:tabs>
        <w:autoSpaceDE w:val="0"/>
        <w:autoSpaceDN w:val="0"/>
        <w:adjustRightInd w:val="0"/>
        <w:spacing w:before="1" w:after="95" w:line="276" w:lineRule="auto"/>
        <w:ind w:left="72" w:right="18" w:firstLineChars="200" w:firstLine="420"/>
        <w:rPr>
          <w:rFonts w:ascii="新宋体" w:eastAsia="新宋体" w:hAnsiTheme="minorHAnsi" w:cs="新宋体"/>
          <w:color w:val="000000" w:themeColor="text1"/>
          <w:szCs w:val="21"/>
          <w:lang w:val="zh-CN"/>
        </w:rPr>
      </w:pPr>
    </w:p>
    <w:p w:rsidR="00F22945" w:rsidRDefault="00325CE1">
      <w:pPr>
        <w:tabs>
          <w:tab w:val="left" w:pos="720"/>
        </w:tabs>
        <w:autoSpaceDE w:val="0"/>
        <w:autoSpaceDN w:val="0"/>
        <w:adjustRightInd w:val="0"/>
        <w:spacing w:before="1" w:after="95" w:line="276" w:lineRule="auto"/>
        <w:ind w:left="72" w:right="18"/>
        <w:rPr>
          <w:rFonts w:ascii="新宋体" w:eastAsia="新宋体" w:hAnsiTheme="minorHAnsi" w:cs="新宋体"/>
          <w:color w:val="000000" w:themeColor="text1"/>
          <w:szCs w:val="21"/>
          <w:lang w:val="zh-CN"/>
        </w:rPr>
      </w:pPr>
      <w:r>
        <w:rPr>
          <w:rFonts w:ascii="新宋体" w:eastAsia="新宋体" w:hAnsiTheme="minorHAnsi" w:cs="新宋体" w:hint="eastAsia"/>
          <w:color w:val="000000" w:themeColor="text1"/>
          <w:szCs w:val="21"/>
          <w:lang w:val="zh-CN"/>
        </w:rPr>
        <w:t>机构投资者（公章）</w:t>
      </w:r>
      <w:r>
        <w:rPr>
          <w:rFonts w:ascii="新宋体" w:eastAsia="新宋体" w:hAnsiTheme="minorHAnsi" w:cs="新宋体"/>
          <w:color w:val="000000" w:themeColor="text1"/>
          <w:szCs w:val="21"/>
          <w:lang w:val="zh-CN"/>
        </w:rPr>
        <w:t xml:space="preserve">                          </w:t>
      </w:r>
      <w:r>
        <w:rPr>
          <w:rFonts w:ascii="新宋体" w:eastAsia="新宋体" w:hAnsiTheme="minorHAnsi" w:cs="新宋体" w:hint="eastAsia"/>
          <w:color w:val="000000" w:themeColor="text1"/>
          <w:szCs w:val="21"/>
          <w:lang w:val="zh-CN"/>
        </w:rPr>
        <w:t>机构投资者经办人签章：</w:t>
      </w:r>
    </w:p>
    <w:p w:rsidR="00F22945" w:rsidRDefault="00F22945">
      <w:pPr>
        <w:tabs>
          <w:tab w:val="left" w:pos="720"/>
        </w:tabs>
        <w:autoSpaceDE w:val="0"/>
        <w:autoSpaceDN w:val="0"/>
        <w:adjustRightInd w:val="0"/>
        <w:spacing w:before="1" w:after="95" w:line="276" w:lineRule="auto"/>
        <w:ind w:left="72" w:right="18"/>
        <w:rPr>
          <w:rFonts w:ascii="新宋体" w:eastAsia="新宋体" w:hAnsiTheme="minorHAnsi" w:cs="新宋体"/>
          <w:color w:val="000000" w:themeColor="text1"/>
          <w:szCs w:val="21"/>
          <w:lang w:val="zh-CN"/>
        </w:rPr>
      </w:pPr>
    </w:p>
    <w:p w:rsidR="00F22945" w:rsidRDefault="00325CE1">
      <w:pPr>
        <w:tabs>
          <w:tab w:val="left" w:pos="720"/>
        </w:tabs>
        <w:autoSpaceDE w:val="0"/>
        <w:autoSpaceDN w:val="0"/>
        <w:adjustRightInd w:val="0"/>
        <w:spacing w:before="1" w:after="95" w:line="276" w:lineRule="auto"/>
        <w:ind w:left="72" w:right="18"/>
        <w:rPr>
          <w:rFonts w:ascii="新宋体" w:eastAsia="新宋体" w:hAnsiTheme="minorHAnsi" w:cs="新宋体"/>
          <w:color w:val="000000" w:themeColor="text1"/>
          <w:szCs w:val="21"/>
          <w:lang w:val="zh-CN"/>
        </w:rPr>
      </w:pPr>
      <w:r>
        <w:rPr>
          <w:rFonts w:ascii="新宋体" w:eastAsia="新宋体" w:hAnsiTheme="minorHAnsi" w:cs="新宋体" w:hint="eastAsia"/>
          <w:color w:val="000000" w:themeColor="text1"/>
          <w:szCs w:val="21"/>
          <w:lang w:val="zh-CN"/>
        </w:rPr>
        <w:t>个人投资者</w:t>
      </w:r>
      <w:r>
        <w:rPr>
          <w:rFonts w:ascii="新宋体" w:eastAsia="新宋体" w:hAnsiTheme="minorHAnsi" w:cs="新宋体"/>
          <w:color w:val="000000" w:themeColor="text1"/>
          <w:szCs w:val="21"/>
          <w:lang w:val="zh-CN"/>
        </w:rPr>
        <w:t>/</w:t>
      </w:r>
      <w:r>
        <w:rPr>
          <w:rFonts w:ascii="新宋体" w:eastAsia="新宋体" w:hAnsiTheme="minorHAnsi" w:cs="新宋体" w:hint="eastAsia"/>
          <w:color w:val="000000" w:themeColor="text1"/>
          <w:szCs w:val="21"/>
          <w:lang w:val="zh-CN"/>
        </w:rPr>
        <w:t>代办人签章：</w:t>
      </w:r>
      <w:r>
        <w:rPr>
          <w:rFonts w:ascii="新宋体" w:eastAsia="新宋体" w:hAnsiTheme="minorHAnsi" w:cs="新宋体"/>
          <w:color w:val="000000" w:themeColor="text1"/>
          <w:szCs w:val="21"/>
          <w:lang w:val="zh-CN"/>
        </w:rPr>
        <w:t xml:space="preserve">                                                           </w:t>
      </w:r>
    </w:p>
    <w:p w:rsidR="00F22945" w:rsidRDefault="00F22945">
      <w:pPr>
        <w:tabs>
          <w:tab w:val="left" w:pos="720"/>
        </w:tabs>
        <w:autoSpaceDE w:val="0"/>
        <w:autoSpaceDN w:val="0"/>
        <w:adjustRightInd w:val="0"/>
        <w:spacing w:before="1" w:after="95" w:line="276" w:lineRule="auto"/>
        <w:ind w:left="72" w:right="18"/>
        <w:rPr>
          <w:rFonts w:ascii="新宋体" w:eastAsia="新宋体" w:hAnsiTheme="minorHAnsi" w:cs="新宋体"/>
          <w:color w:val="000000" w:themeColor="text1"/>
          <w:szCs w:val="21"/>
          <w:lang w:val="zh-CN"/>
        </w:rPr>
      </w:pPr>
    </w:p>
    <w:p w:rsidR="00F22945" w:rsidRDefault="00325CE1">
      <w:pPr>
        <w:wordWrap w:val="0"/>
        <w:spacing w:line="276" w:lineRule="auto"/>
        <w:ind w:left="2940" w:rightChars="-27" w:right="-57" w:firstLine="420"/>
        <w:rPr>
          <w:sz w:val="18"/>
          <w:szCs w:val="18"/>
        </w:rPr>
      </w:pPr>
      <w:r>
        <w:rPr>
          <w:rFonts w:ascii="新宋体" w:eastAsia="新宋体" w:hAnsiTheme="minorHAnsi" w:cs="新宋体"/>
          <w:color w:val="000000" w:themeColor="text1"/>
          <w:szCs w:val="21"/>
          <w:lang w:val="zh-CN"/>
        </w:rPr>
        <w:t xml:space="preserve">                        </w:t>
      </w:r>
      <w:r>
        <w:rPr>
          <w:rFonts w:ascii="新宋体" w:eastAsia="新宋体" w:hAnsiTheme="minorHAnsi" w:cs="新宋体" w:hint="eastAsia"/>
          <w:color w:val="000000" w:themeColor="text1"/>
          <w:szCs w:val="21"/>
          <w:lang w:val="zh-CN"/>
        </w:rPr>
        <w:t>年</w:t>
      </w:r>
      <w:r>
        <w:rPr>
          <w:rFonts w:ascii="新宋体" w:eastAsia="新宋体" w:hAnsiTheme="minorHAnsi" w:cs="新宋体"/>
          <w:color w:val="000000" w:themeColor="text1"/>
          <w:szCs w:val="21"/>
          <w:lang w:val="zh-CN"/>
        </w:rPr>
        <w:t xml:space="preserve">       </w:t>
      </w:r>
      <w:r>
        <w:rPr>
          <w:rFonts w:ascii="新宋体" w:eastAsia="新宋体" w:hAnsiTheme="minorHAnsi" w:cs="新宋体" w:hint="eastAsia"/>
          <w:color w:val="000000" w:themeColor="text1"/>
          <w:szCs w:val="21"/>
          <w:lang w:val="zh-CN"/>
        </w:rPr>
        <w:t>月</w:t>
      </w:r>
      <w:r>
        <w:rPr>
          <w:rFonts w:ascii="新宋体" w:eastAsia="新宋体" w:hAnsiTheme="minorHAnsi" w:cs="新宋体"/>
          <w:color w:val="000000" w:themeColor="text1"/>
          <w:szCs w:val="21"/>
          <w:lang w:val="zh-CN"/>
        </w:rPr>
        <w:t xml:space="preserve">      </w:t>
      </w:r>
      <w:r>
        <w:rPr>
          <w:rFonts w:ascii="新宋体" w:eastAsia="新宋体" w:hAnsiTheme="minorHAnsi" w:cs="新宋体" w:hint="eastAsia"/>
          <w:color w:val="000000" w:themeColor="text1"/>
          <w:szCs w:val="21"/>
          <w:lang w:val="zh-CN"/>
        </w:rPr>
        <w:t>日</w:t>
      </w:r>
      <w:r>
        <w:rPr>
          <w:szCs w:val="21"/>
        </w:rPr>
        <w:t xml:space="preserve">      </w:t>
      </w:r>
      <w:r>
        <w:rPr>
          <w:sz w:val="18"/>
          <w:szCs w:val="18"/>
        </w:rPr>
        <w:t xml:space="preserve">   </w:t>
      </w:r>
    </w:p>
    <w:p w:rsidR="00F22945" w:rsidRDefault="00F22945">
      <w:pPr>
        <w:spacing w:line="276" w:lineRule="auto"/>
        <w:rPr>
          <w:sz w:val="18"/>
          <w:szCs w:val="18"/>
        </w:rPr>
      </w:pPr>
    </w:p>
    <w:sectPr w:rsidR="00F2294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7E" w:rsidRDefault="00F57F7E">
      <w:r>
        <w:separator/>
      </w:r>
    </w:p>
  </w:endnote>
  <w:endnote w:type="continuationSeparator" w:id="0">
    <w:p w:rsidR="00F57F7E" w:rsidRDefault="00F5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45" w:rsidRDefault="00325CE1">
    <w:pPr>
      <w:pStyle w:val="ac"/>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B51F9">
      <w:rPr>
        <w:noProof/>
      </w:rPr>
      <w:t>13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5B51F9">
        <w:rPr>
          <w:noProof/>
        </w:rPr>
        <w:t>13</w:t>
      </w:r>
    </w:fldSimple>
    <w:r>
      <w:rPr>
        <w:rFonts w:hint="eastAsia"/>
      </w:rPr>
      <w:t xml:space="preserve"> </w:t>
    </w:r>
    <w:r>
      <w:rPr>
        <w:rFonts w:hint="eastAsia"/>
      </w:rPr>
      <w:t>页</w:t>
    </w:r>
  </w:p>
  <w:p w:rsidR="00F22945" w:rsidRDefault="00F229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7E" w:rsidRDefault="00F57F7E">
      <w:r>
        <w:separator/>
      </w:r>
    </w:p>
  </w:footnote>
  <w:footnote w:type="continuationSeparator" w:id="0">
    <w:p w:rsidR="00F57F7E" w:rsidRDefault="00F5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45" w:rsidRDefault="00325CE1">
    <w:pPr>
      <w:pStyle w:val="ae"/>
    </w:pPr>
    <w:r>
      <w:rPr>
        <w:noProof/>
      </w:rPr>
      <w:drawing>
        <wp:anchor distT="0" distB="0" distL="114300" distR="114300" simplePos="0" relativeHeight="251659264" behindDoc="0" locked="0" layoutInCell="1" allowOverlap="1">
          <wp:simplePos x="0" y="0"/>
          <wp:positionH relativeFrom="column">
            <wp:posOffset>-483870</wp:posOffset>
          </wp:positionH>
          <wp:positionV relativeFrom="paragraph">
            <wp:posOffset>-396240</wp:posOffset>
          </wp:positionV>
          <wp:extent cx="1655445" cy="454025"/>
          <wp:effectExtent l="0" t="0" r="1905"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5445" cy="45402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211"/>
    <w:multiLevelType w:val="multilevel"/>
    <w:tmpl w:val="0DB21211"/>
    <w:lvl w:ilvl="0">
      <w:start w:val="1"/>
      <w:numFmt w:val="decimal"/>
      <w:lvlText w:val="（%1)"/>
      <w:lvlJc w:val="left"/>
      <w:pPr>
        <w:ind w:left="1320" w:hanging="420"/>
      </w:pPr>
      <w:rPr>
        <w:rFonts w:ascii="宋体" w:eastAsia="宋体" w:hAnsi="宋体" w:hint="eastAsia"/>
        <w:b w:val="0"/>
        <w:i w:val="0"/>
        <w:lang w:val="en-US"/>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1" w15:restartNumberingAfterBreak="0">
    <w:nsid w:val="0DEF3BCF"/>
    <w:multiLevelType w:val="multilevel"/>
    <w:tmpl w:val="0DEF3B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A26C65"/>
    <w:multiLevelType w:val="multilevel"/>
    <w:tmpl w:val="0FA26C65"/>
    <w:lvl w:ilvl="0">
      <w:start w:val="1"/>
      <w:numFmt w:val="decimal"/>
      <w:lvlText w:val="（%1)"/>
      <w:lvlJc w:val="left"/>
      <w:pPr>
        <w:ind w:left="420" w:hanging="420"/>
      </w:pPr>
      <w:rPr>
        <w:rFonts w:ascii="宋体" w:eastAsia="宋体" w:hAnsi="宋体"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43ED1"/>
    <w:multiLevelType w:val="multilevel"/>
    <w:tmpl w:val="1EF43ED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4A16006"/>
    <w:multiLevelType w:val="multilevel"/>
    <w:tmpl w:val="24A16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8D64208"/>
    <w:multiLevelType w:val="multilevel"/>
    <w:tmpl w:val="28D64208"/>
    <w:lvl w:ilvl="0">
      <w:start w:val="1"/>
      <w:numFmt w:val="decimal"/>
      <w:lvlText w:val="%1."/>
      <w:lvlJc w:val="left"/>
      <w:pPr>
        <w:ind w:left="840" w:hanging="360"/>
      </w:pPr>
      <w:rPr>
        <w:rFonts w:cs="Arial" w:hint="default"/>
      </w:rPr>
    </w:lvl>
    <w:lvl w:ilvl="1">
      <w:start w:val="1"/>
      <w:numFmt w:val="japaneseCounting"/>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FE93CA7"/>
    <w:multiLevelType w:val="multilevel"/>
    <w:tmpl w:val="2FE93CA7"/>
    <w:lvl w:ilvl="0">
      <w:start w:val="1"/>
      <w:numFmt w:val="decimal"/>
      <w:lvlText w:val="（%1)"/>
      <w:lvlJc w:val="left"/>
      <w:pPr>
        <w:ind w:left="113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0C011F"/>
    <w:multiLevelType w:val="multilevel"/>
    <w:tmpl w:val="370C011F"/>
    <w:lvl w:ilvl="0">
      <w:start w:val="1"/>
      <w:numFmt w:val="lowerLetter"/>
      <w:lvlText w:val="%1)"/>
      <w:lvlJc w:val="left"/>
      <w:pPr>
        <w:ind w:left="752" w:hanging="420"/>
      </w:p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8" w15:restartNumberingAfterBreak="0">
    <w:nsid w:val="45F515E5"/>
    <w:multiLevelType w:val="multilevel"/>
    <w:tmpl w:val="45F515E5"/>
    <w:lvl w:ilvl="0">
      <w:start w:val="1"/>
      <w:numFmt w:val="lowerLetter"/>
      <w:lvlText w:val="%1)"/>
      <w:lvlJc w:val="left"/>
      <w:pPr>
        <w:ind w:left="752" w:hanging="420"/>
      </w:p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9" w15:restartNumberingAfterBreak="0">
    <w:nsid w:val="4A12601F"/>
    <w:multiLevelType w:val="multilevel"/>
    <w:tmpl w:val="4A12601F"/>
    <w:lvl w:ilvl="0">
      <w:start w:val="1"/>
      <w:numFmt w:val="decimal"/>
      <w:lvlText w:val="（%1)"/>
      <w:lvlJc w:val="left"/>
      <w:pPr>
        <w:tabs>
          <w:tab w:val="left" w:pos="1187"/>
        </w:tabs>
        <w:ind w:left="306" w:firstLine="624"/>
      </w:pPr>
      <w:rPr>
        <w:rFonts w:ascii="宋体" w:eastAsia="宋体" w:hAnsi="宋体" w:hint="eastAsia"/>
        <w:b w:val="0"/>
        <w:i w:val="0"/>
      </w:rPr>
    </w:lvl>
    <w:lvl w:ilvl="1">
      <w:start w:val="1"/>
      <w:numFmt w:val="lowerLetter"/>
      <w:lvlText w:val="%2)"/>
      <w:lvlJc w:val="left"/>
      <w:pPr>
        <w:tabs>
          <w:tab w:val="left" w:pos="1274"/>
        </w:tabs>
        <w:ind w:left="1274" w:hanging="420"/>
      </w:pPr>
    </w:lvl>
    <w:lvl w:ilvl="2">
      <w:start w:val="1"/>
      <w:numFmt w:val="lowerRoman"/>
      <w:lvlText w:val="%3."/>
      <w:lvlJc w:val="right"/>
      <w:pPr>
        <w:tabs>
          <w:tab w:val="left" w:pos="1694"/>
        </w:tabs>
        <w:ind w:left="1694" w:hanging="420"/>
      </w:pPr>
    </w:lvl>
    <w:lvl w:ilvl="3">
      <w:start w:val="1"/>
      <w:numFmt w:val="decimal"/>
      <w:lvlText w:val="%4."/>
      <w:lvlJc w:val="left"/>
      <w:pPr>
        <w:tabs>
          <w:tab w:val="left" w:pos="2114"/>
        </w:tabs>
        <w:ind w:left="2114" w:hanging="420"/>
      </w:pPr>
    </w:lvl>
    <w:lvl w:ilvl="4">
      <w:start w:val="1"/>
      <w:numFmt w:val="lowerLetter"/>
      <w:lvlText w:val="%5)"/>
      <w:lvlJc w:val="left"/>
      <w:pPr>
        <w:tabs>
          <w:tab w:val="left" w:pos="2534"/>
        </w:tabs>
        <w:ind w:left="2534" w:hanging="420"/>
      </w:pPr>
    </w:lvl>
    <w:lvl w:ilvl="5">
      <w:start w:val="1"/>
      <w:numFmt w:val="lowerRoman"/>
      <w:lvlText w:val="%6."/>
      <w:lvlJc w:val="right"/>
      <w:pPr>
        <w:tabs>
          <w:tab w:val="left" w:pos="2954"/>
        </w:tabs>
        <w:ind w:left="2954" w:hanging="420"/>
      </w:pPr>
    </w:lvl>
    <w:lvl w:ilvl="6">
      <w:start w:val="1"/>
      <w:numFmt w:val="decimal"/>
      <w:lvlText w:val="%7."/>
      <w:lvlJc w:val="left"/>
      <w:pPr>
        <w:tabs>
          <w:tab w:val="left" w:pos="3374"/>
        </w:tabs>
        <w:ind w:left="3374" w:hanging="420"/>
      </w:pPr>
    </w:lvl>
    <w:lvl w:ilvl="7">
      <w:start w:val="1"/>
      <w:numFmt w:val="lowerLetter"/>
      <w:lvlText w:val="%8)"/>
      <w:lvlJc w:val="left"/>
      <w:pPr>
        <w:tabs>
          <w:tab w:val="left" w:pos="3794"/>
        </w:tabs>
        <w:ind w:left="3794" w:hanging="420"/>
      </w:pPr>
    </w:lvl>
    <w:lvl w:ilvl="8">
      <w:start w:val="1"/>
      <w:numFmt w:val="lowerRoman"/>
      <w:lvlText w:val="%9."/>
      <w:lvlJc w:val="right"/>
      <w:pPr>
        <w:tabs>
          <w:tab w:val="left" w:pos="4214"/>
        </w:tabs>
        <w:ind w:left="4214" w:hanging="420"/>
      </w:pPr>
    </w:lvl>
  </w:abstractNum>
  <w:abstractNum w:abstractNumId="10" w15:restartNumberingAfterBreak="0">
    <w:nsid w:val="4FE3045F"/>
    <w:multiLevelType w:val="multilevel"/>
    <w:tmpl w:val="4FE3045F"/>
    <w:lvl w:ilvl="0">
      <w:start w:val="1"/>
      <w:numFmt w:val="decimal"/>
      <w:lvlText w:val="（%1)"/>
      <w:lvlJc w:val="left"/>
      <w:pPr>
        <w:ind w:left="42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E2E5667"/>
    <w:multiLevelType w:val="multilevel"/>
    <w:tmpl w:val="5E2E5667"/>
    <w:lvl w:ilvl="0">
      <w:start w:val="1"/>
      <w:numFmt w:val="decimal"/>
      <w:lvlText w:val="%1."/>
      <w:lvlJc w:val="left"/>
      <w:pPr>
        <w:ind w:left="846" w:hanging="420"/>
      </w:pPr>
      <w:rPr>
        <w:rFonts w:hint="eastAsia"/>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60FF701E"/>
    <w:multiLevelType w:val="multilevel"/>
    <w:tmpl w:val="60FF701E"/>
    <w:lvl w:ilvl="0">
      <w:start w:val="1"/>
      <w:numFmt w:val="decimal"/>
      <w:lvlText w:val="（%1)"/>
      <w:lvlJc w:val="left"/>
      <w:pPr>
        <w:ind w:left="42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3EA1B1E"/>
    <w:multiLevelType w:val="multilevel"/>
    <w:tmpl w:val="73EA1B1E"/>
    <w:lvl w:ilvl="0">
      <w:start w:val="1"/>
      <w:numFmt w:val="decimal"/>
      <w:lvlText w:val="（%1)"/>
      <w:lvlJc w:val="left"/>
      <w:pPr>
        <w:tabs>
          <w:tab w:val="left" w:pos="825"/>
        </w:tabs>
        <w:ind w:left="-56" w:firstLine="624"/>
      </w:pPr>
      <w:rPr>
        <w:rFonts w:ascii="宋体" w:eastAsia="宋体" w:hAnsi="宋体" w:hint="eastAsia"/>
        <w:b w:val="0"/>
        <w:i w:val="0"/>
        <w:lang w:val="en-US"/>
      </w:rPr>
    </w:lvl>
    <w:lvl w:ilvl="1">
      <w:start w:val="1"/>
      <w:numFmt w:val="lowerLetter"/>
      <w:lvlText w:val="%2)"/>
      <w:lvlJc w:val="left"/>
      <w:pPr>
        <w:tabs>
          <w:tab w:val="left" w:pos="912"/>
        </w:tabs>
        <w:ind w:left="912" w:hanging="420"/>
      </w:pPr>
    </w:lvl>
    <w:lvl w:ilvl="2">
      <w:start w:val="1"/>
      <w:numFmt w:val="lowerRoman"/>
      <w:lvlText w:val="%3."/>
      <w:lvlJc w:val="right"/>
      <w:pPr>
        <w:tabs>
          <w:tab w:val="left" w:pos="1332"/>
        </w:tabs>
        <w:ind w:left="1332" w:hanging="420"/>
      </w:pPr>
    </w:lvl>
    <w:lvl w:ilvl="3">
      <w:start w:val="1"/>
      <w:numFmt w:val="decimal"/>
      <w:lvlText w:val="%4."/>
      <w:lvlJc w:val="left"/>
      <w:pPr>
        <w:tabs>
          <w:tab w:val="left" w:pos="1752"/>
        </w:tabs>
        <w:ind w:left="1752" w:hanging="420"/>
      </w:pPr>
    </w:lvl>
    <w:lvl w:ilvl="4">
      <w:start w:val="1"/>
      <w:numFmt w:val="lowerLetter"/>
      <w:lvlText w:val="%5)"/>
      <w:lvlJc w:val="left"/>
      <w:pPr>
        <w:tabs>
          <w:tab w:val="left" w:pos="2172"/>
        </w:tabs>
        <w:ind w:left="2172" w:hanging="420"/>
      </w:pPr>
    </w:lvl>
    <w:lvl w:ilvl="5">
      <w:start w:val="1"/>
      <w:numFmt w:val="lowerRoman"/>
      <w:lvlText w:val="%6."/>
      <w:lvlJc w:val="right"/>
      <w:pPr>
        <w:tabs>
          <w:tab w:val="left" w:pos="2592"/>
        </w:tabs>
        <w:ind w:left="2592" w:hanging="420"/>
      </w:pPr>
    </w:lvl>
    <w:lvl w:ilvl="6">
      <w:start w:val="1"/>
      <w:numFmt w:val="decimal"/>
      <w:lvlText w:val="%7."/>
      <w:lvlJc w:val="left"/>
      <w:pPr>
        <w:tabs>
          <w:tab w:val="left" w:pos="3012"/>
        </w:tabs>
        <w:ind w:left="3012" w:hanging="420"/>
      </w:pPr>
    </w:lvl>
    <w:lvl w:ilvl="7">
      <w:start w:val="1"/>
      <w:numFmt w:val="lowerLetter"/>
      <w:lvlText w:val="%8)"/>
      <w:lvlJc w:val="left"/>
      <w:pPr>
        <w:tabs>
          <w:tab w:val="left" w:pos="3432"/>
        </w:tabs>
        <w:ind w:left="3432" w:hanging="420"/>
      </w:pPr>
    </w:lvl>
    <w:lvl w:ilvl="8">
      <w:start w:val="1"/>
      <w:numFmt w:val="lowerRoman"/>
      <w:lvlText w:val="%9."/>
      <w:lvlJc w:val="right"/>
      <w:pPr>
        <w:tabs>
          <w:tab w:val="left" w:pos="3852"/>
        </w:tabs>
        <w:ind w:left="3852" w:hanging="420"/>
      </w:pPr>
    </w:lvl>
  </w:abstractNum>
  <w:abstractNum w:abstractNumId="14" w15:restartNumberingAfterBreak="0">
    <w:nsid w:val="795A4A40"/>
    <w:multiLevelType w:val="multilevel"/>
    <w:tmpl w:val="795A4A40"/>
    <w:lvl w:ilvl="0">
      <w:start w:val="1"/>
      <w:numFmt w:val="decimal"/>
      <w:lvlText w:val="（%1)"/>
      <w:lvlJc w:val="left"/>
      <w:pPr>
        <w:ind w:left="113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1"/>
  </w:num>
  <w:num w:numId="3">
    <w:abstractNumId w:val="10"/>
  </w:num>
  <w:num w:numId="4">
    <w:abstractNumId w:val="12"/>
  </w:num>
  <w:num w:numId="5">
    <w:abstractNumId w:val="0"/>
  </w:num>
  <w:num w:numId="6">
    <w:abstractNumId w:val="5"/>
  </w:num>
  <w:num w:numId="7">
    <w:abstractNumId w:val="9"/>
  </w:num>
  <w:num w:numId="8">
    <w:abstractNumId w:val="2"/>
  </w:num>
  <w:num w:numId="9">
    <w:abstractNumId w:val="13"/>
  </w:num>
  <w:num w:numId="10">
    <w:abstractNumId w:val="8"/>
  </w:num>
  <w:num w:numId="11">
    <w:abstractNumId w:val="7"/>
  </w:num>
  <w:num w:numId="12">
    <w:abstractNumId w:val="4"/>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FA"/>
    <w:rsid w:val="00010535"/>
    <w:rsid w:val="00016B73"/>
    <w:rsid w:val="00031746"/>
    <w:rsid w:val="00042F28"/>
    <w:rsid w:val="000D2A06"/>
    <w:rsid w:val="000E5B8B"/>
    <w:rsid w:val="0013275A"/>
    <w:rsid w:val="00153AC2"/>
    <w:rsid w:val="00161830"/>
    <w:rsid w:val="0019493C"/>
    <w:rsid w:val="001E2972"/>
    <w:rsid w:val="001F74EC"/>
    <w:rsid w:val="0023681E"/>
    <w:rsid w:val="002522B5"/>
    <w:rsid w:val="00277C9A"/>
    <w:rsid w:val="002B64A0"/>
    <w:rsid w:val="002F02AB"/>
    <w:rsid w:val="00301403"/>
    <w:rsid w:val="00301FB3"/>
    <w:rsid w:val="0030626D"/>
    <w:rsid w:val="00312505"/>
    <w:rsid w:val="00312747"/>
    <w:rsid w:val="00325CE1"/>
    <w:rsid w:val="00331CAD"/>
    <w:rsid w:val="00343CF0"/>
    <w:rsid w:val="003A4A6F"/>
    <w:rsid w:val="003A6DC9"/>
    <w:rsid w:val="003C382A"/>
    <w:rsid w:val="003D32EC"/>
    <w:rsid w:val="003E7566"/>
    <w:rsid w:val="003F72E1"/>
    <w:rsid w:val="00450DA4"/>
    <w:rsid w:val="00456E04"/>
    <w:rsid w:val="00482AFA"/>
    <w:rsid w:val="0048351D"/>
    <w:rsid w:val="00487B32"/>
    <w:rsid w:val="00497671"/>
    <w:rsid w:val="004C6810"/>
    <w:rsid w:val="004C70D2"/>
    <w:rsid w:val="004E1CB6"/>
    <w:rsid w:val="004F2521"/>
    <w:rsid w:val="00501B36"/>
    <w:rsid w:val="00560288"/>
    <w:rsid w:val="00585834"/>
    <w:rsid w:val="00591DFF"/>
    <w:rsid w:val="00592C87"/>
    <w:rsid w:val="005967CC"/>
    <w:rsid w:val="00597BD0"/>
    <w:rsid w:val="005B0488"/>
    <w:rsid w:val="005B51F9"/>
    <w:rsid w:val="005C1738"/>
    <w:rsid w:val="006075EA"/>
    <w:rsid w:val="006130D7"/>
    <w:rsid w:val="00631401"/>
    <w:rsid w:val="00637F5D"/>
    <w:rsid w:val="00656C7C"/>
    <w:rsid w:val="0066268D"/>
    <w:rsid w:val="00695399"/>
    <w:rsid w:val="006A7AC3"/>
    <w:rsid w:val="006C510C"/>
    <w:rsid w:val="00703348"/>
    <w:rsid w:val="00707028"/>
    <w:rsid w:val="00733AE9"/>
    <w:rsid w:val="0074749F"/>
    <w:rsid w:val="00754935"/>
    <w:rsid w:val="007700E6"/>
    <w:rsid w:val="007724BD"/>
    <w:rsid w:val="007C651A"/>
    <w:rsid w:val="00802500"/>
    <w:rsid w:val="00802B1F"/>
    <w:rsid w:val="008574AC"/>
    <w:rsid w:val="00893BBB"/>
    <w:rsid w:val="008E1BA1"/>
    <w:rsid w:val="00902908"/>
    <w:rsid w:val="009106FD"/>
    <w:rsid w:val="0093029D"/>
    <w:rsid w:val="00933200"/>
    <w:rsid w:val="00972DB6"/>
    <w:rsid w:val="00974A2D"/>
    <w:rsid w:val="009A01C7"/>
    <w:rsid w:val="009A30EB"/>
    <w:rsid w:val="009A6114"/>
    <w:rsid w:val="009A6473"/>
    <w:rsid w:val="009C1C24"/>
    <w:rsid w:val="00A0248B"/>
    <w:rsid w:val="00A06F3D"/>
    <w:rsid w:val="00A55E90"/>
    <w:rsid w:val="00A60B26"/>
    <w:rsid w:val="00A67F6E"/>
    <w:rsid w:val="00A8355F"/>
    <w:rsid w:val="00A9440E"/>
    <w:rsid w:val="00AB36A8"/>
    <w:rsid w:val="00B11933"/>
    <w:rsid w:val="00B6559E"/>
    <w:rsid w:val="00BA110B"/>
    <w:rsid w:val="00BB6DCD"/>
    <w:rsid w:val="00C3280E"/>
    <w:rsid w:val="00C540BA"/>
    <w:rsid w:val="00C633C4"/>
    <w:rsid w:val="00C8142C"/>
    <w:rsid w:val="00C87C8D"/>
    <w:rsid w:val="00C90FDA"/>
    <w:rsid w:val="00C92C60"/>
    <w:rsid w:val="00CA16D5"/>
    <w:rsid w:val="00CA5552"/>
    <w:rsid w:val="00CC149D"/>
    <w:rsid w:val="00CC48D3"/>
    <w:rsid w:val="00CC7577"/>
    <w:rsid w:val="00D00805"/>
    <w:rsid w:val="00D12CA1"/>
    <w:rsid w:val="00D26C20"/>
    <w:rsid w:val="00D3165D"/>
    <w:rsid w:val="00D31D70"/>
    <w:rsid w:val="00D6453A"/>
    <w:rsid w:val="00D70DE3"/>
    <w:rsid w:val="00D74708"/>
    <w:rsid w:val="00DB57F3"/>
    <w:rsid w:val="00E17BA3"/>
    <w:rsid w:val="00E2306A"/>
    <w:rsid w:val="00E23EA9"/>
    <w:rsid w:val="00E24D61"/>
    <w:rsid w:val="00E53391"/>
    <w:rsid w:val="00E627B7"/>
    <w:rsid w:val="00E75BE3"/>
    <w:rsid w:val="00E77A7B"/>
    <w:rsid w:val="00EE568B"/>
    <w:rsid w:val="00F22945"/>
    <w:rsid w:val="00F36BB7"/>
    <w:rsid w:val="00F57F7E"/>
    <w:rsid w:val="00F7502A"/>
    <w:rsid w:val="00F76FBC"/>
    <w:rsid w:val="00FA040A"/>
    <w:rsid w:val="00FA4B95"/>
    <w:rsid w:val="00FE6457"/>
    <w:rsid w:val="00FF11DD"/>
    <w:rsid w:val="086B1BF4"/>
    <w:rsid w:val="088E2C3E"/>
    <w:rsid w:val="0FB200A0"/>
    <w:rsid w:val="13C75518"/>
    <w:rsid w:val="16F467F7"/>
    <w:rsid w:val="26E20B32"/>
    <w:rsid w:val="351941FA"/>
    <w:rsid w:val="3BF953C0"/>
    <w:rsid w:val="50D563C6"/>
    <w:rsid w:val="6B451B22"/>
    <w:rsid w:val="768F1272"/>
    <w:rsid w:val="7EB70234"/>
    <w:rsid w:val="7EC1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6773"/>
  <w15:docId w15:val="{23DC451D-192B-4822-9C3B-02A38433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widowControl/>
      <w:spacing w:before="240" w:line="259" w:lineRule="auto"/>
      <w:jc w:val="left"/>
      <w:outlineLvl w:val="0"/>
    </w:pPr>
    <w:rPr>
      <w:rFonts w:asciiTheme="majorHAnsi" w:eastAsiaTheme="majorEastAsia" w:hAnsiTheme="majorHAnsi" w:cstheme="majorBidi"/>
      <w:color w:val="262626" w:themeColor="text1" w:themeTint="D9"/>
      <w:kern w:val="0"/>
      <w:sz w:val="32"/>
      <w:szCs w:val="32"/>
    </w:rPr>
  </w:style>
  <w:style w:type="paragraph" w:styleId="2">
    <w:name w:val="heading 2"/>
    <w:basedOn w:val="a"/>
    <w:next w:val="a"/>
    <w:link w:val="20"/>
    <w:uiPriority w:val="9"/>
    <w:unhideWhenUsed/>
    <w:qFormat/>
    <w:pPr>
      <w:keepNext/>
      <w:keepLines/>
      <w:widowControl/>
      <w:spacing w:before="40" w:line="259" w:lineRule="auto"/>
      <w:jc w:val="left"/>
      <w:outlineLvl w:val="1"/>
    </w:pPr>
    <w:rPr>
      <w:rFonts w:asciiTheme="majorHAnsi" w:eastAsiaTheme="majorEastAsia" w:hAnsiTheme="majorHAnsi" w:cstheme="majorBidi"/>
      <w:color w:val="262626" w:themeColor="text1" w:themeTint="D9"/>
      <w:kern w:val="0"/>
      <w:sz w:val="28"/>
      <w:szCs w:val="28"/>
    </w:rPr>
  </w:style>
  <w:style w:type="paragraph" w:styleId="3">
    <w:name w:val="heading 3"/>
    <w:basedOn w:val="a"/>
    <w:next w:val="a"/>
    <w:link w:val="30"/>
    <w:uiPriority w:val="9"/>
    <w:unhideWhenUsed/>
    <w:qFormat/>
    <w:pPr>
      <w:keepNext/>
      <w:keepLines/>
      <w:widowControl/>
      <w:spacing w:before="40" w:line="259" w:lineRule="auto"/>
      <w:jc w:val="left"/>
      <w:outlineLvl w:val="2"/>
    </w:pPr>
    <w:rPr>
      <w:rFonts w:asciiTheme="majorHAnsi" w:eastAsiaTheme="majorEastAsia" w:hAnsiTheme="majorHAnsi" w:cstheme="majorBidi"/>
      <w:color w:val="0D0D0D" w:themeColor="text1" w:themeTint="F2"/>
      <w:kern w:val="0"/>
      <w:sz w:val="24"/>
      <w:szCs w:val="24"/>
    </w:rPr>
  </w:style>
  <w:style w:type="paragraph" w:styleId="4">
    <w:name w:val="heading 4"/>
    <w:basedOn w:val="a"/>
    <w:next w:val="a"/>
    <w:link w:val="40"/>
    <w:uiPriority w:val="9"/>
    <w:unhideWhenUsed/>
    <w:qFormat/>
    <w:pPr>
      <w:keepNext/>
      <w:keepLines/>
      <w:widowControl/>
      <w:spacing w:before="40" w:line="259" w:lineRule="auto"/>
      <w:jc w:val="left"/>
      <w:outlineLvl w:val="3"/>
    </w:pPr>
    <w:rPr>
      <w:rFonts w:asciiTheme="majorHAnsi" w:eastAsiaTheme="majorEastAsia" w:hAnsiTheme="majorHAnsi" w:cstheme="majorBidi"/>
      <w:i/>
      <w:iCs/>
      <w:color w:val="404040" w:themeColor="text1" w:themeTint="BF"/>
      <w:kern w:val="0"/>
      <w:sz w:val="22"/>
    </w:rPr>
  </w:style>
  <w:style w:type="paragraph" w:styleId="5">
    <w:name w:val="heading 5"/>
    <w:basedOn w:val="a"/>
    <w:next w:val="a"/>
    <w:link w:val="50"/>
    <w:uiPriority w:val="9"/>
    <w:unhideWhenUsed/>
    <w:qFormat/>
    <w:pPr>
      <w:keepNext/>
      <w:keepLines/>
      <w:widowControl/>
      <w:spacing w:before="40" w:line="259" w:lineRule="auto"/>
      <w:jc w:val="left"/>
      <w:outlineLvl w:val="4"/>
    </w:pPr>
    <w:rPr>
      <w:rFonts w:asciiTheme="majorHAnsi" w:eastAsiaTheme="majorEastAsia" w:hAnsiTheme="majorHAnsi" w:cstheme="majorBidi"/>
      <w:color w:val="404040" w:themeColor="text1" w:themeTint="BF"/>
      <w:kern w:val="0"/>
      <w:sz w:val="22"/>
    </w:rPr>
  </w:style>
  <w:style w:type="paragraph" w:styleId="6">
    <w:name w:val="heading 6"/>
    <w:basedOn w:val="a"/>
    <w:next w:val="a"/>
    <w:link w:val="60"/>
    <w:uiPriority w:val="9"/>
    <w:unhideWhenUsed/>
    <w:qFormat/>
    <w:pPr>
      <w:keepNext/>
      <w:keepLines/>
      <w:widowControl/>
      <w:spacing w:before="40" w:line="259" w:lineRule="auto"/>
      <w:jc w:val="left"/>
      <w:outlineLvl w:val="5"/>
    </w:pPr>
    <w:rPr>
      <w:rFonts w:asciiTheme="majorHAnsi" w:eastAsiaTheme="majorEastAsia" w:hAnsiTheme="majorHAnsi" w:cstheme="majorBidi"/>
      <w:kern w:val="0"/>
      <w:sz w:val="22"/>
    </w:rPr>
  </w:style>
  <w:style w:type="paragraph" w:styleId="7">
    <w:name w:val="heading 7"/>
    <w:basedOn w:val="a"/>
    <w:next w:val="a"/>
    <w:link w:val="70"/>
    <w:uiPriority w:val="9"/>
    <w:unhideWhenUsed/>
    <w:qFormat/>
    <w:pPr>
      <w:keepNext/>
      <w:keepLines/>
      <w:widowControl/>
      <w:spacing w:before="40" w:line="259" w:lineRule="auto"/>
      <w:jc w:val="left"/>
      <w:outlineLvl w:val="6"/>
    </w:pPr>
    <w:rPr>
      <w:rFonts w:asciiTheme="majorHAnsi" w:eastAsiaTheme="majorEastAsia" w:hAnsiTheme="majorHAnsi" w:cstheme="majorBidi"/>
      <w:i/>
      <w:iCs/>
      <w:kern w:val="0"/>
      <w:sz w:val="22"/>
    </w:rPr>
  </w:style>
  <w:style w:type="paragraph" w:styleId="8">
    <w:name w:val="heading 8"/>
    <w:basedOn w:val="a"/>
    <w:next w:val="a"/>
    <w:link w:val="80"/>
    <w:uiPriority w:val="9"/>
    <w:unhideWhenUsed/>
    <w:qFormat/>
    <w:pPr>
      <w:keepNext/>
      <w:keepLines/>
      <w:widowControl/>
      <w:spacing w:before="40" w:line="259" w:lineRule="auto"/>
      <w:jc w:val="left"/>
      <w:outlineLvl w:val="7"/>
    </w:pPr>
    <w:rPr>
      <w:rFonts w:asciiTheme="majorHAnsi" w:eastAsiaTheme="majorEastAsia" w:hAnsiTheme="majorHAnsi" w:cstheme="majorBidi"/>
      <w:color w:val="262626" w:themeColor="text1" w:themeTint="D9"/>
      <w:kern w:val="0"/>
      <w:szCs w:val="21"/>
    </w:rPr>
  </w:style>
  <w:style w:type="paragraph" w:styleId="9">
    <w:name w:val="heading 9"/>
    <w:basedOn w:val="a"/>
    <w:next w:val="a"/>
    <w:link w:val="90"/>
    <w:uiPriority w:val="9"/>
    <w:unhideWhenUsed/>
    <w:qFormat/>
    <w:pPr>
      <w:keepNext/>
      <w:keepLines/>
      <w:widowControl/>
      <w:spacing w:before="40" w:line="259" w:lineRule="auto"/>
      <w:jc w:val="left"/>
      <w:outlineLvl w:val="8"/>
    </w:pPr>
    <w:rPr>
      <w:rFonts w:asciiTheme="majorHAnsi" w:eastAsiaTheme="majorEastAsia" w:hAnsiTheme="majorHAnsi" w:cstheme="majorBidi"/>
      <w:i/>
      <w:iCs/>
      <w:color w:val="262626" w:themeColor="text1" w:themeTint="D9"/>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caption"/>
    <w:basedOn w:val="a"/>
    <w:next w:val="a"/>
    <w:uiPriority w:val="35"/>
    <w:unhideWhenUsed/>
    <w:qFormat/>
    <w:pPr>
      <w:widowControl/>
      <w:spacing w:after="200"/>
      <w:jc w:val="left"/>
    </w:pPr>
    <w:rPr>
      <w:rFonts w:asciiTheme="minorHAnsi" w:eastAsiaTheme="minorEastAsia" w:hAnsiTheme="minorHAnsi" w:cstheme="minorBidi"/>
      <w:i/>
      <w:iCs/>
      <w:color w:val="44546A" w:themeColor="text2"/>
      <w:kern w:val="0"/>
      <w:sz w:val="18"/>
      <w:szCs w:val="18"/>
    </w:rPr>
  </w:style>
  <w:style w:type="paragraph" w:styleId="a8">
    <w:name w:val="Body Text"/>
    <w:basedOn w:val="a"/>
    <w:link w:val="a9"/>
    <w:uiPriority w:val="1"/>
    <w:qFormat/>
    <w:pPr>
      <w:ind w:left="120"/>
      <w:jc w:val="left"/>
    </w:pPr>
    <w:rPr>
      <w:rFonts w:ascii="宋体" w:hAnsi="宋体" w:cstheme="minorBidi"/>
      <w:kern w:val="0"/>
      <w:sz w:val="32"/>
      <w:szCs w:val="32"/>
      <w:lang w:eastAsia="en-US"/>
    </w:rPr>
  </w:style>
  <w:style w:type="paragraph" w:styleId="aa">
    <w:name w:val="Balloon Text"/>
    <w:basedOn w:val="a"/>
    <w:link w:val="ab"/>
    <w:uiPriority w:val="99"/>
    <w:unhideWhenUsed/>
    <w:rPr>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uiPriority w:val="11"/>
    <w:qFormat/>
    <w:pPr>
      <w:widowControl/>
      <w:spacing w:after="160" w:line="259" w:lineRule="auto"/>
      <w:jc w:val="left"/>
    </w:pPr>
    <w:rPr>
      <w:rFonts w:asciiTheme="minorHAnsi" w:eastAsiaTheme="minorEastAsia" w:hAnsiTheme="minorHAnsi" w:cstheme="minorBidi"/>
      <w:color w:val="595959" w:themeColor="text1" w:themeTint="A6"/>
      <w:spacing w:val="15"/>
      <w:kern w:val="0"/>
      <w:sz w:val="22"/>
    </w:rPr>
  </w:style>
  <w:style w:type="paragraph" w:styleId="af2">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3">
    <w:name w:val="Title"/>
    <w:basedOn w:val="a"/>
    <w:next w:val="a"/>
    <w:link w:val="af4"/>
    <w:uiPriority w:val="10"/>
    <w:qFormat/>
    <w:pPr>
      <w:widowControl/>
      <w:contextualSpacing/>
      <w:jc w:val="left"/>
    </w:pPr>
    <w:rPr>
      <w:rFonts w:asciiTheme="majorHAnsi" w:eastAsiaTheme="majorEastAsia" w:hAnsiTheme="majorHAnsi" w:cstheme="majorBidi"/>
      <w:spacing w:val="-10"/>
      <w:kern w:val="0"/>
      <w:sz w:val="56"/>
      <w:szCs w:val="56"/>
    </w:rPr>
  </w:style>
  <w:style w:type="character" w:styleId="af5">
    <w:name w:val="Strong"/>
    <w:basedOn w:val="a0"/>
    <w:uiPriority w:val="22"/>
    <w:qFormat/>
    <w:rPr>
      <w:b/>
      <w:bCs/>
      <w:color w:val="auto"/>
    </w:rPr>
  </w:style>
  <w:style w:type="character" w:styleId="af6">
    <w:name w:val="Emphasis"/>
    <w:basedOn w:val="a0"/>
    <w:uiPriority w:val="20"/>
    <w:qFormat/>
    <w:rPr>
      <w:i/>
      <w:iCs/>
      <w:color w:val="auto"/>
    </w:rPr>
  </w:style>
  <w:style w:type="character" w:styleId="af7">
    <w:name w:val="Hyperlink"/>
    <w:basedOn w:val="a0"/>
    <w:uiPriority w:val="99"/>
    <w:qFormat/>
    <w:rPr>
      <w:rFonts w:cs="Times New Roman"/>
      <w:color w:val="0000FF"/>
      <w:u w:val="single"/>
    </w:rPr>
  </w:style>
  <w:style w:type="character" w:styleId="af8">
    <w:name w:val="annotation reference"/>
    <w:basedOn w:val="a0"/>
    <w:uiPriority w:val="99"/>
    <w:unhideWhenUsed/>
    <w:rPr>
      <w:sz w:val="21"/>
      <w:szCs w:val="21"/>
    </w:rPr>
  </w:style>
  <w:style w:type="character" w:customStyle="1" w:styleId="10">
    <w:name w:val="标题 1 字符"/>
    <w:basedOn w:val="a0"/>
    <w:link w:val="1"/>
    <w:uiPriority w:val="99"/>
    <w:rPr>
      <w:rFonts w:asciiTheme="majorHAnsi" w:eastAsiaTheme="majorEastAsia" w:hAnsiTheme="majorHAnsi" w:cstheme="majorBidi"/>
      <w:color w:val="262626" w:themeColor="text1" w:themeTint="D9"/>
      <w:sz w:val="32"/>
      <w:szCs w:val="32"/>
    </w:rPr>
  </w:style>
  <w:style w:type="character" w:customStyle="1" w:styleId="20">
    <w:name w:val="标题 2 字符"/>
    <w:basedOn w:val="a0"/>
    <w:link w:val="2"/>
    <w:uiPriority w:val="9"/>
    <w:semiHidden/>
    <w:rPr>
      <w:rFonts w:asciiTheme="majorHAnsi" w:eastAsiaTheme="majorEastAsia" w:hAnsiTheme="majorHAnsi" w:cstheme="majorBidi"/>
      <w:color w:val="262626" w:themeColor="text1" w:themeTint="D9"/>
      <w:sz w:val="28"/>
      <w:szCs w:val="28"/>
    </w:rPr>
  </w:style>
  <w:style w:type="character" w:customStyle="1" w:styleId="30">
    <w:name w:val="标题 3 字符"/>
    <w:basedOn w:val="a0"/>
    <w:link w:val="3"/>
    <w:uiPriority w:val="9"/>
    <w:semiHidden/>
    <w:rPr>
      <w:rFonts w:asciiTheme="majorHAnsi" w:eastAsiaTheme="majorEastAsia" w:hAnsiTheme="majorHAnsi" w:cstheme="majorBidi"/>
      <w:color w:val="0D0D0D" w:themeColor="text1" w:themeTint="F2"/>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color w:val="404040" w:themeColor="text1" w:themeTint="BF"/>
    </w:rPr>
  </w:style>
  <w:style w:type="character" w:customStyle="1" w:styleId="50">
    <w:name w:val="标题 5 字符"/>
    <w:basedOn w:val="a0"/>
    <w:link w:val="5"/>
    <w:uiPriority w:val="9"/>
    <w:semiHidden/>
    <w:rPr>
      <w:rFonts w:asciiTheme="majorHAnsi" w:eastAsiaTheme="majorEastAsia" w:hAnsiTheme="majorHAnsi" w:cstheme="majorBidi"/>
      <w:color w:val="404040" w:themeColor="text1" w:themeTint="BF"/>
    </w:rPr>
  </w:style>
  <w:style w:type="character" w:customStyle="1" w:styleId="60">
    <w:name w:val="标题 6 字符"/>
    <w:basedOn w:val="a0"/>
    <w:link w:val="6"/>
    <w:uiPriority w:val="9"/>
    <w:semiHidden/>
    <w:rPr>
      <w:rFonts w:asciiTheme="majorHAnsi" w:eastAsiaTheme="majorEastAsia" w:hAnsiTheme="majorHAnsi" w:cstheme="majorBidi"/>
    </w:rPr>
  </w:style>
  <w:style w:type="character" w:customStyle="1" w:styleId="70">
    <w:name w:val="标题 7 字符"/>
    <w:basedOn w:val="a0"/>
    <w:link w:val="7"/>
    <w:uiPriority w:val="9"/>
    <w:semiHidden/>
    <w:rPr>
      <w:rFonts w:asciiTheme="majorHAnsi" w:eastAsiaTheme="majorEastAsia" w:hAnsiTheme="majorHAnsi" w:cstheme="majorBidi"/>
      <w:i/>
      <w:iCs/>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rPr>
      <w:rFonts w:asciiTheme="majorHAnsi" w:eastAsiaTheme="majorEastAsia" w:hAnsiTheme="majorHAnsi" w:cstheme="majorBidi"/>
      <w:i/>
      <w:iCs/>
      <w:color w:val="262626" w:themeColor="text1" w:themeTint="D9"/>
      <w:sz w:val="21"/>
      <w:szCs w:val="21"/>
    </w:rPr>
  </w:style>
  <w:style w:type="character" w:customStyle="1" w:styleId="af4">
    <w:name w:val="标题 字符"/>
    <w:basedOn w:val="a0"/>
    <w:link w:val="af3"/>
    <w:uiPriority w:val="10"/>
    <w:rPr>
      <w:rFonts w:asciiTheme="majorHAnsi" w:eastAsiaTheme="majorEastAsia" w:hAnsiTheme="majorHAnsi" w:cstheme="majorBidi"/>
      <w:spacing w:val="-10"/>
      <w:sz w:val="56"/>
      <w:szCs w:val="56"/>
    </w:rPr>
  </w:style>
  <w:style w:type="character" w:customStyle="1" w:styleId="af1">
    <w:name w:val="副标题 字符"/>
    <w:basedOn w:val="a0"/>
    <w:link w:val="af0"/>
    <w:uiPriority w:val="11"/>
    <w:rPr>
      <w:color w:val="595959" w:themeColor="text1" w:themeTint="A6"/>
      <w:spacing w:val="15"/>
    </w:rPr>
  </w:style>
  <w:style w:type="paragraph" w:customStyle="1" w:styleId="11">
    <w:name w:val="无间隔1"/>
    <w:uiPriority w:val="1"/>
    <w:qFormat/>
    <w:rPr>
      <w:sz w:val="22"/>
      <w:szCs w:val="22"/>
    </w:rPr>
  </w:style>
  <w:style w:type="paragraph" w:customStyle="1" w:styleId="12">
    <w:name w:val="列出段落1"/>
    <w:basedOn w:val="a"/>
    <w:uiPriority w:val="34"/>
    <w:qFormat/>
    <w:pPr>
      <w:widowControl/>
      <w:spacing w:after="160" w:line="259" w:lineRule="auto"/>
      <w:ind w:firstLineChars="200" w:firstLine="420"/>
      <w:jc w:val="left"/>
    </w:pPr>
    <w:rPr>
      <w:rFonts w:asciiTheme="minorHAnsi" w:eastAsiaTheme="minorEastAsia" w:hAnsiTheme="minorHAnsi" w:cstheme="minorBidi"/>
      <w:kern w:val="0"/>
      <w:sz w:val="22"/>
    </w:rPr>
  </w:style>
  <w:style w:type="paragraph" w:customStyle="1" w:styleId="13">
    <w:name w:val="引用1"/>
    <w:basedOn w:val="a"/>
    <w:next w:val="a"/>
    <w:link w:val="Char"/>
    <w:uiPriority w:val="29"/>
    <w:qFormat/>
    <w:pPr>
      <w:widowControl/>
      <w:spacing w:before="200" w:after="160" w:line="259" w:lineRule="auto"/>
      <w:ind w:left="864" w:right="864"/>
      <w:jc w:val="left"/>
    </w:pPr>
    <w:rPr>
      <w:rFonts w:asciiTheme="minorHAnsi" w:eastAsiaTheme="minorEastAsia" w:hAnsiTheme="minorHAnsi" w:cstheme="minorBidi"/>
      <w:i/>
      <w:iCs/>
      <w:color w:val="404040" w:themeColor="text1" w:themeTint="BF"/>
      <w:kern w:val="0"/>
      <w:sz w:val="22"/>
    </w:rPr>
  </w:style>
  <w:style w:type="character" w:customStyle="1" w:styleId="Char">
    <w:name w:val="引用 Char"/>
    <w:basedOn w:val="a0"/>
    <w:link w:val="13"/>
    <w:uiPriority w:val="29"/>
    <w:qFormat/>
    <w:rPr>
      <w:i/>
      <w:iCs/>
      <w:color w:val="404040" w:themeColor="text1" w:themeTint="BF"/>
    </w:rPr>
  </w:style>
  <w:style w:type="paragraph" w:customStyle="1" w:styleId="14">
    <w:name w:val="明显引用1"/>
    <w:basedOn w:val="a"/>
    <w:next w:val="a"/>
    <w:link w:val="Char0"/>
    <w:uiPriority w:val="30"/>
    <w:qFormat/>
    <w:pPr>
      <w:widowControl/>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color w:val="404040" w:themeColor="text1" w:themeTint="BF"/>
      <w:kern w:val="0"/>
      <w:sz w:val="22"/>
    </w:rPr>
  </w:style>
  <w:style w:type="character" w:customStyle="1" w:styleId="Char0">
    <w:name w:val="明显引用 Char"/>
    <w:basedOn w:val="a0"/>
    <w:link w:val="14"/>
    <w:uiPriority w:val="30"/>
    <w:qFormat/>
    <w:rPr>
      <w:i/>
      <w:iCs/>
      <w:color w:val="404040" w:themeColor="text1" w:themeTint="BF"/>
    </w:rPr>
  </w:style>
  <w:style w:type="character" w:customStyle="1" w:styleId="15">
    <w:name w:val="不明显强调1"/>
    <w:basedOn w:val="a0"/>
    <w:uiPriority w:val="19"/>
    <w:qFormat/>
    <w:rPr>
      <w:i/>
      <w:iCs/>
      <w:color w:val="404040" w:themeColor="text1" w:themeTint="BF"/>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404040" w:themeColor="text1" w:themeTint="BF"/>
    </w:rPr>
  </w:style>
  <w:style w:type="character" w:customStyle="1" w:styleId="18">
    <w:name w:val="明显参考1"/>
    <w:basedOn w:val="a0"/>
    <w:uiPriority w:val="32"/>
    <w:qFormat/>
    <w:rPr>
      <w:b/>
      <w:bCs/>
      <w:smallCaps/>
      <w:color w:val="404040" w:themeColor="text1" w:themeTint="BF"/>
      <w:spacing w:val="5"/>
    </w:rPr>
  </w:style>
  <w:style w:type="character" w:customStyle="1" w:styleId="19">
    <w:name w:val="书籍标题1"/>
    <w:basedOn w:val="a0"/>
    <w:uiPriority w:val="33"/>
    <w:qFormat/>
    <w:rPr>
      <w:b/>
      <w:bCs/>
      <w:i/>
      <w:iCs/>
      <w:spacing w:val="5"/>
    </w:rPr>
  </w:style>
  <w:style w:type="paragraph" w:customStyle="1" w:styleId="TOC1">
    <w:name w:val="TOC 标题1"/>
    <w:basedOn w:val="1"/>
    <w:next w:val="a"/>
    <w:uiPriority w:val="39"/>
    <w:unhideWhenUsed/>
    <w:qFormat/>
    <w:pPr>
      <w:outlineLvl w:val="9"/>
    </w:pPr>
  </w:style>
  <w:style w:type="character" w:customStyle="1" w:styleId="af">
    <w:name w:val="页眉 字符"/>
    <w:basedOn w:val="a0"/>
    <w:link w:val="ae"/>
    <w:uiPriority w:val="99"/>
    <w:rPr>
      <w:rFonts w:ascii="Calibri" w:eastAsia="宋体" w:hAnsi="Calibri" w:cs="Times New Roman"/>
      <w:kern w:val="2"/>
      <w:sz w:val="18"/>
      <w:szCs w:val="18"/>
    </w:rPr>
  </w:style>
  <w:style w:type="character" w:customStyle="1" w:styleId="ad">
    <w:name w:val="页脚 字符"/>
    <w:basedOn w:val="a0"/>
    <w:link w:val="ac"/>
    <w:uiPriority w:val="99"/>
    <w:rPr>
      <w:rFonts w:ascii="Calibri" w:eastAsia="宋体" w:hAnsi="Calibri" w:cs="Times New Roman"/>
      <w:kern w:val="2"/>
      <w:sz w:val="18"/>
      <w:szCs w:val="18"/>
    </w:rPr>
  </w:style>
  <w:style w:type="character" w:customStyle="1" w:styleId="ab">
    <w:name w:val="批注框文本 字符"/>
    <w:basedOn w:val="a0"/>
    <w:link w:val="aa"/>
    <w:uiPriority w:val="99"/>
    <w:semiHidden/>
    <w:qFormat/>
    <w:rPr>
      <w:rFonts w:ascii="Calibri" w:eastAsia="宋体" w:hAnsi="Calibri" w:cs="Times New Roman"/>
      <w:kern w:val="2"/>
      <w:sz w:val="18"/>
      <w:szCs w:val="18"/>
    </w:rPr>
  </w:style>
  <w:style w:type="character" w:customStyle="1" w:styleId="a9">
    <w:name w:val="正文文本 字符"/>
    <w:basedOn w:val="a0"/>
    <w:link w:val="a8"/>
    <w:uiPriority w:val="1"/>
    <w:qFormat/>
    <w:rPr>
      <w:rFonts w:ascii="宋体" w:eastAsia="宋体" w:hAnsi="宋体"/>
      <w:sz w:val="32"/>
      <w:szCs w:val="32"/>
      <w:lang w:eastAsia="en-US"/>
    </w:rPr>
  </w:style>
  <w:style w:type="character" w:customStyle="1" w:styleId="a6">
    <w:name w:val="批注文字 字符"/>
    <w:basedOn w:val="a0"/>
    <w:link w:val="a4"/>
    <w:uiPriority w:val="99"/>
    <w:semiHidden/>
    <w:rPr>
      <w:rFonts w:ascii="Calibri" w:eastAsia="宋体" w:hAnsi="Calibri" w:cs="Times New Roman"/>
      <w:kern w:val="2"/>
      <w:sz w:val="21"/>
      <w:szCs w:val="22"/>
    </w:rPr>
  </w:style>
  <w:style w:type="character" w:customStyle="1" w:styleId="a5">
    <w:name w:val="批注主题 字符"/>
    <w:basedOn w:val="a6"/>
    <w:link w:val="a3"/>
    <w:uiPriority w:val="99"/>
    <w:semiHidden/>
    <w:rPr>
      <w:rFonts w:ascii="Calibri" w:eastAsia="宋体" w:hAnsi="Calibri" w:cs="Times New Roman"/>
      <w:b/>
      <w:bCs/>
      <w:kern w:val="2"/>
      <w:sz w:val="21"/>
      <w:szCs w:val="22"/>
    </w:rPr>
  </w:style>
  <w:style w:type="paragraph" w:customStyle="1" w:styleId="21">
    <w:name w:val="列出段落2"/>
    <w:basedOn w:val="a"/>
    <w:uiPriority w:val="99"/>
    <w:pPr>
      <w:ind w:firstLineChars="200" w:firstLine="420"/>
    </w:pPr>
  </w:style>
  <w:style w:type="paragraph" w:styleId="af9">
    <w:name w:val="Revision"/>
    <w:hidden/>
    <w:uiPriority w:val="99"/>
    <w:semiHidden/>
    <w:rsid w:val="009A6473"/>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丝状">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丝状">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丝状">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1409B5-68FC-4834-B614-6243D8FA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dc:creator>
  <cp:lastModifiedBy>高文慧</cp:lastModifiedBy>
  <cp:revision>17</cp:revision>
  <dcterms:created xsi:type="dcterms:W3CDTF">2017-07-04T03:32:00Z</dcterms:created>
  <dcterms:modified xsi:type="dcterms:W3CDTF">2022-06-30T06:13:00Z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